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4969" w14:textId="4EFE0768" w:rsidR="00A4778B" w:rsidRPr="00B340C5" w:rsidRDefault="003762C0" w:rsidP="00B340C5">
      <w:pPr>
        <w:pStyle w:val="SupenEncabezado"/>
        <w:spacing w:line="240" w:lineRule="auto"/>
        <w:contextualSpacing/>
        <w:rPr>
          <w:rStyle w:val="SupenEncabezadoCar"/>
          <w:rFonts w:cs="Times New Roman"/>
          <w:b/>
          <w:bCs/>
          <w:szCs w:val="24"/>
        </w:rPr>
      </w:pPr>
      <w:sdt>
        <w:sdtPr>
          <w:rPr>
            <w:rStyle w:val="SupenEncabezadoCar"/>
            <w:rFonts w:cs="Times New Roman"/>
            <w:b/>
            <w:bCs/>
            <w:szCs w:val="24"/>
          </w:rPr>
          <w:alias w:val="Código"/>
          <w:tag w:val="A"/>
          <w:id w:val="1991359848"/>
          <w:lock w:val="sdtLocked"/>
          <w:placeholder>
            <w:docPart w:val="5133B443C32D4BBA84994ED17141131F"/>
          </w:placeholder>
          <w:text/>
        </w:sdtPr>
        <w:sdtEndPr>
          <w:rPr>
            <w:rStyle w:val="SupenEncabezadoCar"/>
          </w:rPr>
        </w:sdtEndPr>
        <w:sdtContent>
          <w:r w:rsidR="00706E93" w:rsidRPr="00B340C5">
            <w:rPr>
              <w:rStyle w:val="SupenEncabezadoCar"/>
              <w:rFonts w:cs="Times New Roman"/>
              <w:b/>
              <w:bCs/>
              <w:szCs w:val="24"/>
            </w:rPr>
            <w:t>SP-A-256-2022</w:t>
          </w:r>
        </w:sdtContent>
      </w:sdt>
    </w:p>
    <w:p w14:paraId="70D748E9" w14:textId="7F3BCC62" w:rsidR="003262D5" w:rsidRPr="00B340C5" w:rsidRDefault="00ED56C0" w:rsidP="00B340C5">
      <w:pPr>
        <w:spacing w:line="240" w:lineRule="auto"/>
        <w:contextualSpacing/>
        <w:rPr>
          <w:rFonts w:cs="Times New Roman"/>
          <w:szCs w:val="24"/>
        </w:rPr>
      </w:pPr>
      <w:r>
        <w:rPr>
          <w:rFonts w:cs="Times New Roman"/>
          <w:szCs w:val="24"/>
        </w:rPr>
        <w:t xml:space="preserve"> </w:t>
      </w:r>
      <w:r w:rsidR="00CC4436">
        <w:rPr>
          <w:rFonts w:cs="Times New Roman"/>
          <w:szCs w:val="24"/>
        </w:rPr>
        <w:t xml:space="preserve"> </w:t>
      </w:r>
      <w:r w:rsidR="00041392">
        <w:rPr>
          <w:rFonts w:cs="Times New Roman"/>
          <w:szCs w:val="24"/>
        </w:rPr>
        <w:t xml:space="preserve"> </w:t>
      </w:r>
    </w:p>
    <w:p w14:paraId="3090BED0" w14:textId="4BFA0F10" w:rsidR="007F7219" w:rsidRDefault="00291B81" w:rsidP="00B340C5">
      <w:pPr>
        <w:spacing w:line="240" w:lineRule="auto"/>
        <w:contextualSpacing/>
        <w:jc w:val="both"/>
        <w:rPr>
          <w:rFonts w:cs="Times New Roman"/>
          <w:szCs w:val="24"/>
        </w:rPr>
      </w:pPr>
      <w:r w:rsidRPr="00B340C5">
        <w:rPr>
          <w:rFonts w:cs="Times New Roman"/>
          <w:szCs w:val="24"/>
        </w:rPr>
        <w:t xml:space="preserve">Superintendencia de Pensiones, al ser las </w:t>
      </w:r>
      <w:r w:rsidR="00B00005" w:rsidRPr="00B340C5">
        <w:rPr>
          <w:rFonts w:cs="Times New Roman"/>
          <w:szCs w:val="24"/>
        </w:rPr>
        <w:t>quince</w:t>
      </w:r>
      <w:r w:rsidRPr="00B340C5">
        <w:rPr>
          <w:rFonts w:cs="Times New Roman"/>
          <w:szCs w:val="24"/>
        </w:rPr>
        <w:t xml:space="preserve"> horas del día </w:t>
      </w:r>
      <w:r w:rsidR="00C43E0D" w:rsidRPr="00B340C5">
        <w:rPr>
          <w:rFonts w:cs="Times New Roman"/>
          <w:szCs w:val="24"/>
        </w:rPr>
        <w:t>diecisiete</w:t>
      </w:r>
      <w:r w:rsidRPr="00B340C5">
        <w:rPr>
          <w:rFonts w:cs="Times New Roman"/>
          <w:szCs w:val="24"/>
        </w:rPr>
        <w:t xml:space="preserve"> de </w:t>
      </w:r>
      <w:r w:rsidR="00C43E0D" w:rsidRPr="00B340C5">
        <w:rPr>
          <w:rFonts w:cs="Times New Roman"/>
          <w:szCs w:val="24"/>
        </w:rPr>
        <w:t>noviembre</w:t>
      </w:r>
      <w:r w:rsidRPr="00B340C5">
        <w:rPr>
          <w:rFonts w:cs="Times New Roman"/>
          <w:szCs w:val="24"/>
        </w:rPr>
        <w:t xml:space="preserve"> de 20</w:t>
      </w:r>
      <w:r w:rsidR="005A0E21" w:rsidRPr="00B340C5">
        <w:rPr>
          <w:rFonts w:cs="Times New Roman"/>
          <w:szCs w:val="24"/>
        </w:rPr>
        <w:t>2</w:t>
      </w:r>
      <w:r w:rsidR="007B64CC" w:rsidRPr="00B340C5">
        <w:rPr>
          <w:rFonts w:cs="Times New Roman"/>
          <w:szCs w:val="24"/>
        </w:rPr>
        <w:t>2</w:t>
      </w:r>
      <w:r w:rsidR="005A0E21" w:rsidRPr="00B340C5">
        <w:rPr>
          <w:rFonts w:cs="Times New Roman"/>
          <w:szCs w:val="24"/>
        </w:rPr>
        <w:t>.</w:t>
      </w:r>
    </w:p>
    <w:p w14:paraId="5D0EF2B1" w14:textId="77777777" w:rsidR="00B340C5" w:rsidRDefault="00B340C5" w:rsidP="00B340C5">
      <w:pPr>
        <w:spacing w:line="240" w:lineRule="auto"/>
        <w:contextualSpacing/>
        <w:jc w:val="center"/>
        <w:rPr>
          <w:rFonts w:cs="Times New Roman"/>
          <w:b/>
          <w:bCs/>
          <w:szCs w:val="24"/>
        </w:rPr>
      </w:pPr>
    </w:p>
    <w:p w14:paraId="388A4E67" w14:textId="49BA970F" w:rsidR="00B340C5" w:rsidRPr="00B340C5" w:rsidRDefault="00986C0C" w:rsidP="00B340C5">
      <w:pPr>
        <w:spacing w:line="240" w:lineRule="auto"/>
        <w:contextualSpacing/>
        <w:jc w:val="center"/>
        <w:rPr>
          <w:rFonts w:cs="Times New Roman"/>
          <w:b/>
          <w:bCs/>
          <w:szCs w:val="24"/>
        </w:rPr>
      </w:pPr>
      <w:r>
        <w:rPr>
          <w:rFonts w:cs="Times New Roman"/>
          <w:b/>
          <w:bCs/>
          <w:szCs w:val="24"/>
        </w:rPr>
        <w:t xml:space="preserve"> </w:t>
      </w:r>
    </w:p>
    <w:p w14:paraId="39E61C55" w14:textId="03EA8C00" w:rsidR="005A0E21" w:rsidRPr="00B340C5" w:rsidRDefault="005A0E21" w:rsidP="00B340C5">
      <w:pPr>
        <w:spacing w:line="240" w:lineRule="auto"/>
        <w:contextualSpacing/>
        <w:jc w:val="center"/>
        <w:rPr>
          <w:rFonts w:cs="Times New Roman"/>
          <w:b/>
          <w:bCs/>
          <w:szCs w:val="24"/>
        </w:rPr>
      </w:pPr>
      <w:r w:rsidRPr="00B340C5">
        <w:rPr>
          <w:rFonts w:cs="Times New Roman"/>
          <w:b/>
          <w:bCs/>
          <w:szCs w:val="24"/>
        </w:rPr>
        <w:t>CONSIDERANDO:</w:t>
      </w:r>
    </w:p>
    <w:p w14:paraId="58097F4A" w14:textId="77777777" w:rsidR="005A0E21" w:rsidRPr="00B340C5" w:rsidRDefault="005A0E21" w:rsidP="00B340C5">
      <w:pPr>
        <w:spacing w:line="240" w:lineRule="auto"/>
        <w:contextualSpacing/>
        <w:jc w:val="center"/>
        <w:rPr>
          <w:rFonts w:cs="Times New Roman"/>
          <w:b/>
          <w:bCs/>
          <w:szCs w:val="24"/>
        </w:rPr>
      </w:pPr>
    </w:p>
    <w:p w14:paraId="4BD9CBEF" w14:textId="7F5B9479" w:rsidR="005A0E21" w:rsidRPr="00B340C5" w:rsidRDefault="005A0E21" w:rsidP="00B340C5">
      <w:pPr>
        <w:pStyle w:val="Prrafodelista"/>
        <w:numPr>
          <w:ilvl w:val="0"/>
          <w:numId w:val="6"/>
        </w:numPr>
        <w:spacing w:line="240" w:lineRule="auto"/>
        <w:jc w:val="both"/>
        <w:rPr>
          <w:rFonts w:cs="Times New Roman"/>
          <w:szCs w:val="24"/>
        </w:rPr>
      </w:pPr>
      <w:r w:rsidRPr="00B340C5">
        <w:rPr>
          <w:rFonts w:cs="Times New Roman"/>
          <w:szCs w:val="24"/>
        </w:rPr>
        <w:t xml:space="preserve">El párrafo segundo del artículo 33 de la ley N° 7523, </w:t>
      </w:r>
      <w:r w:rsidRPr="00B340C5">
        <w:rPr>
          <w:rFonts w:cs="Times New Roman"/>
          <w:i/>
          <w:iCs/>
          <w:szCs w:val="24"/>
        </w:rPr>
        <w:t>Régimen Privado de Pensiones Complementarias,</w:t>
      </w:r>
      <w:r w:rsidRPr="00B340C5">
        <w:rPr>
          <w:rFonts w:cs="Times New Roman"/>
          <w:szCs w:val="24"/>
        </w:rPr>
        <w:t xml:space="preserve"> dispone que la Superintendencia de Pensiones, regulará, supervisará y fiscalizará los planes, fondos y regímenes contemplados en esta ley; aquellos que le sean encomendados en virtud de otras leyes, así como la actividad de las operadoras de pensiones, de los entes autorizados para administrar los fondos de capitalización laboral y de las personas físicas o jurídicas que intervengan, directa o indirectamente, en los actos o contratos relacionados con las disposiciones de esta ley.</w:t>
      </w:r>
    </w:p>
    <w:p w14:paraId="513493B2" w14:textId="77777777" w:rsidR="005A0E21" w:rsidRPr="00B340C5" w:rsidRDefault="005A0E21" w:rsidP="00B340C5">
      <w:pPr>
        <w:pStyle w:val="Prrafodelista"/>
        <w:spacing w:line="240" w:lineRule="auto"/>
        <w:jc w:val="both"/>
        <w:rPr>
          <w:rFonts w:cs="Times New Roman"/>
          <w:szCs w:val="24"/>
        </w:rPr>
      </w:pPr>
    </w:p>
    <w:p w14:paraId="7D716E9B" w14:textId="508ADFAA" w:rsidR="005A0E21" w:rsidRPr="00B340C5" w:rsidRDefault="003401A9" w:rsidP="00B340C5">
      <w:pPr>
        <w:pStyle w:val="Prrafodelista"/>
        <w:numPr>
          <w:ilvl w:val="0"/>
          <w:numId w:val="6"/>
        </w:numPr>
        <w:spacing w:line="240" w:lineRule="auto"/>
        <w:jc w:val="both"/>
        <w:rPr>
          <w:rFonts w:cs="Times New Roman"/>
          <w:szCs w:val="24"/>
        </w:rPr>
      </w:pPr>
      <w:r w:rsidRPr="00B340C5">
        <w:rPr>
          <w:rFonts w:cs="Times New Roman"/>
          <w:szCs w:val="24"/>
        </w:rPr>
        <w:t>De conformidad con el inciso f) del artículo 38 de la norma antes citada,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r w:rsidR="005A0E21" w:rsidRPr="00B340C5">
        <w:rPr>
          <w:rFonts w:cs="Times New Roman"/>
          <w:szCs w:val="24"/>
        </w:rPr>
        <w:t>.</w:t>
      </w:r>
    </w:p>
    <w:p w14:paraId="3EB90FD8" w14:textId="77777777" w:rsidR="005A0E21" w:rsidRPr="00B340C5" w:rsidRDefault="005A0E21" w:rsidP="00B340C5">
      <w:pPr>
        <w:pStyle w:val="Prrafodelista"/>
        <w:spacing w:line="240" w:lineRule="auto"/>
        <w:jc w:val="both"/>
        <w:rPr>
          <w:rFonts w:cs="Times New Roman"/>
          <w:szCs w:val="24"/>
        </w:rPr>
      </w:pPr>
    </w:p>
    <w:p w14:paraId="3DF827B6" w14:textId="7D15ECF4" w:rsidR="005A0E21" w:rsidRPr="00B340C5" w:rsidRDefault="005A0E21" w:rsidP="00B340C5">
      <w:pPr>
        <w:pStyle w:val="Prrafodelista"/>
        <w:numPr>
          <w:ilvl w:val="0"/>
          <w:numId w:val="6"/>
        </w:numPr>
        <w:spacing w:line="240" w:lineRule="auto"/>
        <w:jc w:val="both"/>
        <w:rPr>
          <w:rFonts w:cs="Times New Roman"/>
          <w:szCs w:val="24"/>
        </w:rPr>
      </w:pPr>
      <w:r w:rsidRPr="00B340C5">
        <w:rPr>
          <w:rFonts w:cs="Times New Roman"/>
          <w:szCs w:val="24"/>
        </w:rPr>
        <w:t xml:space="preserve">Producto de la reforma efectuada al artículo 77 de </w:t>
      </w:r>
      <w:r w:rsidRPr="00B340C5">
        <w:rPr>
          <w:rFonts w:cs="Times New Roman"/>
          <w:i/>
          <w:iCs/>
          <w:szCs w:val="24"/>
        </w:rPr>
        <w:t>la Ley de Protección al Trabajador</w:t>
      </w:r>
      <w:r w:rsidRPr="00B340C5">
        <w:rPr>
          <w:rFonts w:cs="Times New Roman"/>
          <w:szCs w:val="24"/>
        </w:rPr>
        <w:t xml:space="preserve">, a través de la ley No. 9906, </w:t>
      </w:r>
      <w:r w:rsidR="005E0174" w:rsidRPr="00B340C5">
        <w:rPr>
          <w:rFonts w:cs="Times New Roman"/>
          <w:szCs w:val="24"/>
        </w:rPr>
        <w:t xml:space="preserve">para </w:t>
      </w:r>
      <w:r w:rsidRPr="00B340C5">
        <w:rPr>
          <w:rFonts w:cs="Times New Roman"/>
          <w:szCs w:val="24"/>
        </w:rPr>
        <w:t>los recursos del Régimen Complementario de Pensiones que no hayan sido retirados por los beneficiarios en un plazo de diez años, contado a partir del fallecimiento del afiliado o pensionado, el derecho sobre tales recursos prescribirá y serán girados por las operadoras de pensiones a favor del Régimen No Contributivo (RNC) de la Caja Costarricense de Seguro Social (CCSS).</w:t>
      </w:r>
    </w:p>
    <w:p w14:paraId="501CEA9F" w14:textId="77777777" w:rsidR="005A0E21" w:rsidRPr="00B340C5" w:rsidRDefault="005A0E21" w:rsidP="00B340C5">
      <w:pPr>
        <w:pStyle w:val="Prrafodelista"/>
        <w:spacing w:line="240" w:lineRule="auto"/>
        <w:jc w:val="both"/>
        <w:rPr>
          <w:rFonts w:cs="Times New Roman"/>
          <w:szCs w:val="24"/>
        </w:rPr>
      </w:pPr>
    </w:p>
    <w:p w14:paraId="24E05223" w14:textId="2AFF9880" w:rsidR="005A0E21" w:rsidRPr="00B340C5" w:rsidRDefault="005A0E21" w:rsidP="00B340C5">
      <w:pPr>
        <w:pStyle w:val="Prrafodelista"/>
        <w:spacing w:line="240" w:lineRule="auto"/>
        <w:jc w:val="both"/>
        <w:rPr>
          <w:rFonts w:cs="Times New Roman"/>
          <w:szCs w:val="24"/>
        </w:rPr>
      </w:pPr>
      <w:r w:rsidRPr="00B340C5">
        <w:rPr>
          <w:rFonts w:cs="Times New Roman"/>
          <w:szCs w:val="24"/>
        </w:rPr>
        <w:t xml:space="preserve">Igual destino se </w:t>
      </w:r>
      <w:r w:rsidR="009708C0" w:rsidRPr="00B340C5">
        <w:rPr>
          <w:rFonts w:cs="Times New Roman"/>
          <w:szCs w:val="24"/>
        </w:rPr>
        <w:t>les</w:t>
      </w:r>
      <w:r w:rsidRPr="00B340C5">
        <w:rPr>
          <w:rFonts w:cs="Times New Roman"/>
          <w:szCs w:val="24"/>
        </w:rPr>
        <w:t xml:space="preserve"> dará a los aportes que realicen los patronos y trabajadores para los fondos de capitalización laboral y cualquiera de los regímenes complementarios de pensiones, cuando estos no hayan podido asignarse a una cuenta individual en un plazo de diez años, contado a partir del momento en que los recursos ingresen a la operadora de pensiones complementarias.</w:t>
      </w:r>
    </w:p>
    <w:p w14:paraId="66AAA874" w14:textId="77777777" w:rsidR="005A0E21" w:rsidRPr="00B340C5" w:rsidRDefault="005A0E21" w:rsidP="00B340C5">
      <w:pPr>
        <w:pStyle w:val="Prrafodelista"/>
        <w:spacing w:line="240" w:lineRule="auto"/>
        <w:jc w:val="both"/>
        <w:rPr>
          <w:rFonts w:cs="Times New Roman"/>
          <w:szCs w:val="24"/>
        </w:rPr>
      </w:pPr>
    </w:p>
    <w:p w14:paraId="4CBBC94D" w14:textId="6DD9C304" w:rsidR="005A0E21" w:rsidRPr="00B340C5" w:rsidRDefault="005A0E21" w:rsidP="00B340C5">
      <w:pPr>
        <w:pStyle w:val="Prrafodelista"/>
        <w:numPr>
          <w:ilvl w:val="0"/>
          <w:numId w:val="6"/>
        </w:numPr>
        <w:spacing w:line="240" w:lineRule="auto"/>
        <w:jc w:val="both"/>
        <w:rPr>
          <w:rFonts w:cs="Times New Roman"/>
          <w:szCs w:val="24"/>
        </w:rPr>
      </w:pPr>
      <w:r w:rsidRPr="00B340C5">
        <w:rPr>
          <w:rFonts w:cs="Times New Roman"/>
          <w:szCs w:val="24"/>
        </w:rPr>
        <w:t xml:space="preserve">En atención a las disposiciones antes indicadas, el pasado mes de mayo, </w:t>
      </w:r>
      <w:r w:rsidRPr="00B340C5">
        <w:rPr>
          <w:rFonts w:cs="Times New Roman"/>
          <w:i/>
          <w:iCs/>
          <w:szCs w:val="24"/>
        </w:rPr>
        <w:t>BCR Pensiones Operadora de Planes de Pensiones Complementarias, S.A.</w:t>
      </w:r>
      <w:r w:rsidRPr="00B340C5">
        <w:rPr>
          <w:rFonts w:cs="Times New Roman"/>
          <w:szCs w:val="24"/>
        </w:rPr>
        <w:t xml:space="preserve">, en su condición de </w:t>
      </w:r>
      <w:r w:rsidR="00E26420" w:rsidRPr="00B340C5">
        <w:rPr>
          <w:rFonts w:cs="Times New Roman"/>
          <w:szCs w:val="24"/>
        </w:rPr>
        <w:t xml:space="preserve">entonces </w:t>
      </w:r>
      <w:r w:rsidRPr="00B340C5">
        <w:rPr>
          <w:rFonts w:cs="Times New Roman"/>
          <w:szCs w:val="24"/>
        </w:rPr>
        <w:t>adjudicataria</w:t>
      </w:r>
      <w:r w:rsidR="00C57E62" w:rsidRPr="00B340C5">
        <w:rPr>
          <w:rFonts w:cs="Times New Roman"/>
          <w:szCs w:val="24"/>
        </w:rPr>
        <w:t xml:space="preserve"> de la licitación </w:t>
      </w:r>
      <w:r w:rsidR="00B0640E" w:rsidRPr="00B340C5">
        <w:rPr>
          <w:rFonts w:cs="Times New Roman"/>
          <w:szCs w:val="24"/>
        </w:rPr>
        <w:t>para la administración de los recursos correspondientes a registros erróneos</w:t>
      </w:r>
      <w:r w:rsidRPr="00B340C5">
        <w:rPr>
          <w:rFonts w:cs="Times New Roman"/>
          <w:szCs w:val="24"/>
        </w:rPr>
        <w:t>, procedió a girar</w:t>
      </w:r>
      <w:r w:rsidR="00B0640E" w:rsidRPr="00B340C5">
        <w:rPr>
          <w:rFonts w:cs="Times New Roman"/>
          <w:szCs w:val="24"/>
        </w:rPr>
        <w:t xml:space="preserve"> </w:t>
      </w:r>
      <w:r w:rsidR="00E334CA" w:rsidRPr="00B340C5">
        <w:rPr>
          <w:rFonts w:cs="Times New Roman"/>
          <w:szCs w:val="24"/>
        </w:rPr>
        <w:t xml:space="preserve">los </w:t>
      </w:r>
      <w:r w:rsidR="00AA34C4" w:rsidRPr="00B340C5">
        <w:rPr>
          <w:rFonts w:cs="Times New Roman"/>
          <w:szCs w:val="24"/>
        </w:rPr>
        <w:t xml:space="preserve">que contaban con una antigüedad superior a 10 años </w:t>
      </w:r>
      <w:r w:rsidR="00D824AC" w:rsidRPr="00B340C5">
        <w:rPr>
          <w:rFonts w:cs="Times New Roman"/>
          <w:szCs w:val="24"/>
        </w:rPr>
        <w:t xml:space="preserve">en </w:t>
      </w:r>
      <w:r w:rsidR="00AA34C4" w:rsidRPr="00B340C5">
        <w:rPr>
          <w:rFonts w:cs="Times New Roman"/>
          <w:szCs w:val="24"/>
        </w:rPr>
        <w:t xml:space="preserve">el </w:t>
      </w:r>
      <w:r w:rsidRPr="00B340C5">
        <w:rPr>
          <w:rFonts w:cs="Times New Roman"/>
          <w:szCs w:val="24"/>
        </w:rPr>
        <w:t>R</w:t>
      </w:r>
      <w:r w:rsidR="00E334CA" w:rsidRPr="00B340C5">
        <w:rPr>
          <w:rFonts w:cs="Times New Roman"/>
          <w:szCs w:val="24"/>
        </w:rPr>
        <w:t>égimen Obligatorio de Pensiones Complementarias</w:t>
      </w:r>
      <w:r w:rsidR="00AA34C4" w:rsidRPr="00B340C5">
        <w:rPr>
          <w:rFonts w:cs="Times New Roman"/>
          <w:szCs w:val="24"/>
        </w:rPr>
        <w:t xml:space="preserve"> </w:t>
      </w:r>
      <w:r w:rsidR="00B73BF2" w:rsidRPr="00B340C5">
        <w:rPr>
          <w:rFonts w:cs="Times New Roman"/>
          <w:szCs w:val="24"/>
        </w:rPr>
        <w:t xml:space="preserve">y </w:t>
      </w:r>
      <w:r w:rsidR="00F50472" w:rsidRPr="00B340C5">
        <w:rPr>
          <w:rFonts w:cs="Times New Roman"/>
          <w:szCs w:val="24"/>
        </w:rPr>
        <w:t xml:space="preserve">el </w:t>
      </w:r>
      <w:r w:rsidR="00B73BF2" w:rsidRPr="00B340C5">
        <w:rPr>
          <w:rFonts w:cs="Times New Roman"/>
          <w:szCs w:val="24"/>
        </w:rPr>
        <w:t xml:space="preserve">Fondo de Capitalización Laboral </w:t>
      </w:r>
      <w:r w:rsidR="00AA34C4" w:rsidRPr="00B340C5">
        <w:rPr>
          <w:rFonts w:cs="Times New Roman"/>
          <w:szCs w:val="24"/>
        </w:rPr>
        <w:t>al RNC</w:t>
      </w:r>
      <w:r w:rsidRPr="00B340C5">
        <w:rPr>
          <w:rFonts w:cs="Times New Roman"/>
          <w:szCs w:val="24"/>
        </w:rPr>
        <w:t xml:space="preserve">, quedando disponible un 2,6 % </w:t>
      </w:r>
      <w:r w:rsidR="006B27C7" w:rsidRPr="00B340C5">
        <w:rPr>
          <w:rFonts w:cs="Times New Roman"/>
          <w:szCs w:val="24"/>
        </w:rPr>
        <w:t xml:space="preserve">y un </w:t>
      </w:r>
      <w:r w:rsidRPr="00B340C5">
        <w:rPr>
          <w:rFonts w:cs="Times New Roman"/>
          <w:szCs w:val="24"/>
        </w:rPr>
        <w:t>5,6%</w:t>
      </w:r>
      <w:r w:rsidR="006B27C7" w:rsidRPr="00B340C5">
        <w:rPr>
          <w:rFonts w:cs="Times New Roman"/>
          <w:szCs w:val="24"/>
        </w:rPr>
        <w:t xml:space="preserve"> de los saldos originales, respectivamente</w:t>
      </w:r>
      <w:r w:rsidRPr="00B340C5">
        <w:rPr>
          <w:rFonts w:cs="Times New Roman"/>
          <w:szCs w:val="24"/>
        </w:rPr>
        <w:t>. Esta disminución ha provo</w:t>
      </w:r>
      <w:r w:rsidR="009A73EA" w:rsidRPr="00B340C5">
        <w:rPr>
          <w:rFonts w:cs="Times New Roman"/>
          <w:szCs w:val="24"/>
        </w:rPr>
        <w:t>cado</w:t>
      </w:r>
      <w:r w:rsidRPr="00B340C5">
        <w:rPr>
          <w:rFonts w:cs="Times New Roman"/>
          <w:szCs w:val="24"/>
        </w:rPr>
        <w:t xml:space="preserve"> que los ingresos por comisiones de administración, las cuales tienen como base de cálculo los saldos de los </w:t>
      </w:r>
      <w:r w:rsidR="006B27C7" w:rsidRPr="00B340C5">
        <w:rPr>
          <w:rFonts w:cs="Times New Roman"/>
          <w:szCs w:val="24"/>
        </w:rPr>
        <w:t xml:space="preserve">mencionados </w:t>
      </w:r>
      <w:r w:rsidRPr="00B340C5">
        <w:rPr>
          <w:rFonts w:cs="Times New Roman"/>
          <w:szCs w:val="24"/>
        </w:rPr>
        <w:t>fondos, disminuyeran de forma relevante.</w:t>
      </w:r>
    </w:p>
    <w:p w14:paraId="0FD84DF2" w14:textId="77777777" w:rsidR="005A0E21" w:rsidRPr="00B340C5" w:rsidRDefault="005A0E21" w:rsidP="00B340C5">
      <w:pPr>
        <w:pStyle w:val="Prrafodelista"/>
        <w:spacing w:line="240" w:lineRule="auto"/>
        <w:jc w:val="both"/>
        <w:rPr>
          <w:rFonts w:cs="Times New Roman"/>
          <w:szCs w:val="24"/>
        </w:rPr>
      </w:pPr>
    </w:p>
    <w:p w14:paraId="5B267ED7" w14:textId="0908D16C" w:rsidR="005A0E21" w:rsidRPr="00B340C5" w:rsidRDefault="005A0E21" w:rsidP="00B340C5">
      <w:pPr>
        <w:pStyle w:val="Prrafodelista"/>
        <w:numPr>
          <w:ilvl w:val="0"/>
          <w:numId w:val="6"/>
        </w:numPr>
        <w:spacing w:line="240" w:lineRule="auto"/>
        <w:jc w:val="both"/>
        <w:rPr>
          <w:rFonts w:cs="Times New Roman"/>
          <w:szCs w:val="24"/>
        </w:rPr>
      </w:pPr>
      <w:r w:rsidRPr="00B340C5">
        <w:rPr>
          <w:rFonts w:cs="Times New Roman"/>
          <w:szCs w:val="24"/>
        </w:rPr>
        <w:lastRenderedPageBreak/>
        <w:t xml:space="preserve">Como consecuencia de lo anterior, a pesar de que la adjudicataria </w:t>
      </w:r>
      <w:r w:rsidRPr="00B340C5">
        <w:rPr>
          <w:rFonts w:cs="Times New Roman"/>
          <w:i/>
          <w:iCs/>
          <w:szCs w:val="24"/>
        </w:rPr>
        <w:t xml:space="preserve">BCR Pensión, Operadora de Planes de Pensiones Complementarias, S.A. </w:t>
      </w:r>
      <w:r w:rsidRPr="00B340C5">
        <w:rPr>
          <w:rFonts w:cs="Times New Roman"/>
          <w:szCs w:val="24"/>
        </w:rPr>
        <w:t xml:space="preserve">contaba con la opción de prorrogar la administración por dos años más a partir del </w:t>
      </w:r>
      <w:r w:rsidR="00F15003" w:rsidRPr="00B340C5">
        <w:rPr>
          <w:rFonts w:cs="Times New Roman"/>
          <w:szCs w:val="24"/>
        </w:rPr>
        <w:t xml:space="preserve">siguiente </w:t>
      </w:r>
      <w:r w:rsidRPr="00B340C5">
        <w:rPr>
          <w:rFonts w:cs="Times New Roman"/>
          <w:szCs w:val="24"/>
        </w:rPr>
        <w:t>24 de julio, dentro del plazo previsto en el cartel, procedió a comunicar a la SUPEN su decisión de no acogerse a ella, situación que h</w:t>
      </w:r>
      <w:r w:rsidR="0065487F" w:rsidRPr="00B340C5">
        <w:rPr>
          <w:rFonts w:cs="Times New Roman"/>
          <w:szCs w:val="24"/>
        </w:rPr>
        <w:t>izo</w:t>
      </w:r>
      <w:r w:rsidRPr="00B340C5">
        <w:rPr>
          <w:rFonts w:cs="Times New Roman"/>
          <w:szCs w:val="24"/>
        </w:rPr>
        <w:t xml:space="preserve"> necesari</w:t>
      </w:r>
      <w:r w:rsidR="00F761AE" w:rsidRPr="00B340C5">
        <w:rPr>
          <w:rFonts w:cs="Times New Roman"/>
          <w:szCs w:val="24"/>
        </w:rPr>
        <w:t>o plantear</w:t>
      </w:r>
      <w:r w:rsidRPr="00B340C5">
        <w:rPr>
          <w:rFonts w:cs="Times New Roman"/>
          <w:szCs w:val="24"/>
        </w:rPr>
        <w:t xml:space="preserve"> la modifica</w:t>
      </w:r>
      <w:r w:rsidR="0065487F" w:rsidRPr="00B340C5">
        <w:rPr>
          <w:rFonts w:cs="Times New Roman"/>
          <w:szCs w:val="24"/>
        </w:rPr>
        <w:t>ción</w:t>
      </w:r>
      <w:r w:rsidRPr="00B340C5">
        <w:rPr>
          <w:rFonts w:cs="Times New Roman"/>
          <w:szCs w:val="24"/>
        </w:rPr>
        <w:t xml:space="preserve"> </w:t>
      </w:r>
      <w:r w:rsidR="0065487F" w:rsidRPr="00B340C5">
        <w:rPr>
          <w:rFonts w:cs="Times New Roman"/>
          <w:szCs w:val="24"/>
        </w:rPr>
        <w:t>d</w:t>
      </w:r>
      <w:r w:rsidRPr="00B340C5">
        <w:rPr>
          <w:rFonts w:cs="Times New Roman"/>
          <w:szCs w:val="24"/>
        </w:rPr>
        <w:t xml:space="preserve">el artículo 4 del </w:t>
      </w:r>
      <w:r w:rsidRPr="00B340C5">
        <w:rPr>
          <w:rFonts w:cs="Times New Roman"/>
          <w:i/>
          <w:iCs/>
          <w:szCs w:val="24"/>
        </w:rPr>
        <w:t>Reglamento sobre la Apertura y Funcionamiento de las Entidades Autorizadas y el Funcionamiento de los Fondos de Pensiones, Capitalización Laboral y Ahorro Voluntario Previstos en la Ley de Protección al Trabajador</w:t>
      </w:r>
      <w:r w:rsidRPr="00B340C5">
        <w:rPr>
          <w:rFonts w:cs="Times New Roman"/>
          <w:szCs w:val="24"/>
        </w:rPr>
        <w:t xml:space="preserve">, con el fin de eliminar la licitación, considerando que este mecanismo </w:t>
      </w:r>
      <w:r w:rsidR="00577AA3" w:rsidRPr="00B340C5">
        <w:rPr>
          <w:rFonts w:cs="Times New Roman"/>
          <w:szCs w:val="24"/>
        </w:rPr>
        <w:t>presuponía</w:t>
      </w:r>
      <w:r w:rsidR="00F73DF9" w:rsidRPr="00B340C5">
        <w:rPr>
          <w:rFonts w:cs="Times New Roman"/>
          <w:szCs w:val="24"/>
        </w:rPr>
        <w:t xml:space="preserve"> </w:t>
      </w:r>
      <w:r w:rsidRPr="00B340C5">
        <w:rPr>
          <w:rFonts w:cs="Times New Roman"/>
          <w:szCs w:val="24"/>
        </w:rPr>
        <w:t xml:space="preserve">saldos </w:t>
      </w:r>
      <w:r w:rsidR="00577AA3" w:rsidRPr="00B340C5">
        <w:rPr>
          <w:rFonts w:cs="Times New Roman"/>
          <w:szCs w:val="24"/>
        </w:rPr>
        <w:t>a</w:t>
      </w:r>
      <w:r w:rsidR="00427BFB" w:rsidRPr="00B340C5">
        <w:rPr>
          <w:rFonts w:cs="Times New Roman"/>
          <w:szCs w:val="24"/>
        </w:rPr>
        <w:t>d</w:t>
      </w:r>
      <w:r w:rsidR="00577AA3" w:rsidRPr="00B340C5">
        <w:rPr>
          <w:rFonts w:cs="Times New Roman"/>
          <w:szCs w:val="24"/>
        </w:rPr>
        <w:t>ministrados</w:t>
      </w:r>
      <w:r w:rsidRPr="00B340C5">
        <w:rPr>
          <w:rFonts w:cs="Times New Roman"/>
          <w:szCs w:val="24"/>
        </w:rPr>
        <w:t xml:space="preserve"> mucho más cuantiosos respecto de los que, después de los traslados al RNC, aún se mant</w:t>
      </w:r>
      <w:r w:rsidR="00F73DF9" w:rsidRPr="00B340C5">
        <w:rPr>
          <w:rFonts w:cs="Times New Roman"/>
          <w:szCs w:val="24"/>
        </w:rPr>
        <w:t>enía</w:t>
      </w:r>
      <w:r w:rsidR="00B5656D" w:rsidRPr="00B340C5">
        <w:rPr>
          <w:rFonts w:cs="Times New Roman"/>
          <w:szCs w:val="24"/>
        </w:rPr>
        <w:t>n</w:t>
      </w:r>
      <w:r w:rsidRPr="00B340C5">
        <w:rPr>
          <w:rFonts w:cs="Times New Roman"/>
          <w:szCs w:val="24"/>
        </w:rPr>
        <w:t>.</w:t>
      </w:r>
    </w:p>
    <w:p w14:paraId="7F529FA6" w14:textId="77777777" w:rsidR="005A0E21" w:rsidRPr="00B340C5" w:rsidRDefault="005A0E21" w:rsidP="00B340C5">
      <w:pPr>
        <w:pStyle w:val="Prrafodelista"/>
        <w:spacing w:line="240" w:lineRule="auto"/>
        <w:rPr>
          <w:rFonts w:cs="Times New Roman"/>
          <w:szCs w:val="24"/>
        </w:rPr>
      </w:pPr>
    </w:p>
    <w:p w14:paraId="110A5856" w14:textId="1C60272A" w:rsidR="005A0E21" w:rsidRPr="00B340C5" w:rsidRDefault="005A0E21" w:rsidP="00B340C5">
      <w:pPr>
        <w:pStyle w:val="Prrafodelista"/>
        <w:numPr>
          <w:ilvl w:val="0"/>
          <w:numId w:val="6"/>
        </w:numPr>
        <w:spacing w:line="240" w:lineRule="auto"/>
        <w:jc w:val="both"/>
        <w:rPr>
          <w:rFonts w:cs="Times New Roman"/>
          <w:szCs w:val="24"/>
        </w:rPr>
      </w:pPr>
      <w:r w:rsidRPr="00B340C5">
        <w:rPr>
          <w:rFonts w:cs="Times New Roman"/>
          <w:szCs w:val="24"/>
        </w:rPr>
        <w:t xml:space="preserve">El Consejo Nacional de Supervisión del Sistema Financiero, mediante el artículo 5, del acta de la sesión 1743-2022, celebrada el 18 de julio del 2022, publicado en el Alcance N° 153 al diario oficial La Gaceta N° 139, del 21 de julio del 2022, acordó modificar el artículo 4 del </w:t>
      </w:r>
      <w:r w:rsidRPr="00B340C5">
        <w:rPr>
          <w:rFonts w:cs="Times New Roman"/>
          <w:i/>
          <w:iCs/>
          <w:szCs w:val="24"/>
        </w:rPr>
        <w:t>Reglamento sobre la Apertura y Funcionamiento de las Entidades Autorizadas y el Funcionamiento de los Fondos de Pensiones, Capitalización Laboral y Ahorro Voluntario Previstos en la Ley de Protección al Trabajador</w:t>
      </w:r>
      <w:r w:rsidRPr="00B340C5">
        <w:rPr>
          <w:rFonts w:cs="Times New Roman"/>
          <w:szCs w:val="24"/>
        </w:rPr>
        <w:t xml:space="preserve"> </w:t>
      </w:r>
      <w:r w:rsidR="00A009B3" w:rsidRPr="00B340C5">
        <w:rPr>
          <w:rFonts w:cs="Times New Roman"/>
          <w:szCs w:val="24"/>
        </w:rPr>
        <w:t>eliminándose</w:t>
      </w:r>
      <w:r w:rsidRPr="00B340C5">
        <w:rPr>
          <w:rFonts w:cs="Times New Roman"/>
          <w:szCs w:val="24"/>
        </w:rPr>
        <w:t xml:space="preserve"> la licitación</w:t>
      </w:r>
      <w:r w:rsidR="00491D4E" w:rsidRPr="00B340C5">
        <w:rPr>
          <w:rFonts w:cs="Times New Roman"/>
          <w:szCs w:val="24"/>
        </w:rPr>
        <w:t xml:space="preserve"> y</w:t>
      </w:r>
      <w:r w:rsidRPr="00B340C5">
        <w:rPr>
          <w:rFonts w:cs="Times New Roman"/>
          <w:szCs w:val="24"/>
        </w:rPr>
        <w:t xml:space="preserve"> </w:t>
      </w:r>
      <w:r w:rsidR="00A009B3" w:rsidRPr="00B340C5">
        <w:rPr>
          <w:rFonts w:cs="Times New Roman"/>
          <w:szCs w:val="24"/>
        </w:rPr>
        <w:t>disponiendo</w:t>
      </w:r>
      <w:r w:rsidR="00491D4E" w:rsidRPr="00B340C5">
        <w:rPr>
          <w:rFonts w:cs="Times New Roman"/>
          <w:szCs w:val="24"/>
        </w:rPr>
        <w:t>, en su lugar,</w:t>
      </w:r>
      <w:r w:rsidRPr="00B340C5">
        <w:rPr>
          <w:rFonts w:cs="Times New Roman"/>
          <w:szCs w:val="24"/>
        </w:rPr>
        <w:t xml:space="preserve"> que los recursos </w:t>
      </w:r>
      <w:r w:rsidR="00767DF5" w:rsidRPr="00B340C5">
        <w:rPr>
          <w:rFonts w:cs="Times New Roman"/>
          <w:szCs w:val="24"/>
        </w:rPr>
        <w:t>de los</w:t>
      </w:r>
      <w:r w:rsidRPr="00B340C5">
        <w:rPr>
          <w:rFonts w:cs="Times New Roman"/>
          <w:szCs w:val="24"/>
        </w:rPr>
        <w:t xml:space="preserve"> registros erróneos del FCL y del ROP, se asignaran a las operadoras que correspondan, siguiéndose el mecanismo de la afiliación automática previsto en los artículos 11 y 39 de la </w:t>
      </w:r>
      <w:r w:rsidRPr="00B340C5">
        <w:rPr>
          <w:rFonts w:cs="Times New Roman"/>
          <w:i/>
          <w:iCs/>
          <w:szCs w:val="24"/>
        </w:rPr>
        <w:t>Ley de Protección al Trabajador.</w:t>
      </w:r>
    </w:p>
    <w:p w14:paraId="245A3B22" w14:textId="77777777" w:rsidR="005A0E21" w:rsidRPr="00B340C5" w:rsidRDefault="005A0E21" w:rsidP="00B340C5">
      <w:pPr>
        <w:spacing w:line="240" w:lineRule="auto"/>
        <w:contextualSpacing/>
        <w:jc w:val="both"/>
        <w:rPr>
          <w:rFonts w:cs="Times New Roman"/>
          <w:szCs w:val="24"/>
        </w:rPr>
      </w:pPr>
    </w:p>
    <w:p w14:paraId="2A6C040B" w14:textId="0EC5AD72" w:rsidR="005A0E21" w:rsidRPr="00B340C5" w:rsidRDefault="005A0E21" w:rsidP="00B340C5">
      <w:pPr>
        <w:pStyle w:val="Prrafodelista"/>
        <w:spacing w:line="240" w:lineRule="auto"/>
        <w:jc w:val="both"/>
        <w:rPr>
          <w:rFonts w:cs="Times New Roman"/>
          <w:szCs w:val="24"/>
        </w:rPr>
      </w:pPr>
      <w:r w:rsidRPr="00B340C5">
        <w:rPr>
          <w:rFonts w:cs="Times New Roman"/>
          <w:szCs w:val="24"/>
        </w:rPr>
        <w:t xml:space="preserve">Consecuentemente, se hace necesaria la derogatoria del acuerdo </w:t>
      </w:r>
      <w:r w:rsidRPr="00B340C5">
        <w:rPr>
          <w:rFonts w:cs="Times New Roman"/>
          <w:i/>
          <w:iCs/>
          <w:szCs w:val="24"/>
        </w:rPr>
        <w:t>SP-A-233-2020 de las dieciséis horas del día primero de diciembre de 2020</w:t>
      </w:r>
      <w:r w:rsidRPr="00B340C5">
        <w:rPr>
          <w:rFonts w:cs="Times New Roman"/>
          <w:szCs w:val="24"/>
        </w:rPr>
        <w:t>, relativo a las disposiciones que regulan las condiciones del concurso y la administración de los recursos erróneos y la reforma a los siguientes acuerdos del Superintendente de Pensiones:</w:t>
      </w:r>
    </w:p>
    <w:p w14:paraId="0CE3E35B" w14:textId="77777777" w:rsidR="005A0E21" w:rsidRPr="00B340C5" w:rsidRDefault="005A0E21" w:rsidP="00B340C5">
      <w:pPr>
        <w:spacing w:line="240" w:lineRule="auto"/>
        <w:contextualSpacing/>
        <w:jc w:val="both"/>
        <w:rPr>
          <w:rFonts w:cs="Times New Roman"/>
          <w:szCs w:val="24"/>
        </w:rPr>
      </w:pPr>
    </w:p>
    <w:p w14:paraId="1BCDCE4A" w14:textId="536CF848" w:rsidR="005A0E21" w:rsidRPr="00B340C5" w:rsidRDefault="005A0E21" w:rsidP="00B340C5">
      <w:pPr>
        <w:pStyle w:val="Prrafodelista"/>
        <w:numPr>
          <w:ilvl w:val="0"/>
          <w:numId w:val="7"/>
        </w:numPr>
        <w:spacing w:line="240" w:lineRule="auto"/>
        <w:jc w:val="both"/>
        <w:rPr>
          <w:rFonts w:cs="Times New Roman"/>
          <w:szCs w:val="24"/>
        </w:rPr>
      </w:pPr>
      <w:r w:rsidRPr="00B340C5">
        <w:rPr>
          <w:rFonts w:cs="Times New Roman"/>
          <w:szCs w:val="24"/>
        </w:rPr>
        <w:t xml:space="preserve">Acuerdo </w:t>
      </w:r>
      <w:r w:rsidRPr="00B340C5">
        <w:rPr>
          <w:rFonts w:cs="Times New Roman"/>
          <w:i/>
          <w:iCs/>
          <w:szCs w:val="24"/>
        </w:rPr>
        <w:t>SP-A-251-2022 de las quince horas del día diecisiete de febrero del año dos mil veintidós</w:t>
      </w:r>
      <w:r w:rsidRPr="00B340C5">
        <w:rPr>
          <w:rFonts w:cs="Times New Roman"/>
          <w:szCs w:val="24"/>
        </w:rPr>
        <w:t xml:space="preserve">, relativo a las disposiciones operativas requeridas para el traslado de los recursos al Régimen no Contributivo de Pensiones administrado por la Caja Costarricense de Seguro Social, correspondientes a los registros erróneos sobre los cuales haya recaído la prescripción decenal prevista en el artículo 77 de la </w:t>
      </w:r>
      <w:r w:rsidRPr="00B340C5">
        <w:rPr>
          <w:rFonts w:cs="Times New Roman"/>
          <w:i/>
          <w:iCs/>
          <w:szCs w:val="24"/>
        </w:rPr>
        <w:t>Ley de Protección al Trabajador</w:t>
      </w:r>
      <w:r w:rsidRPr="00B340C5">
        <w:rPr>
          <w:rFonts w:cs="Times New Roman"/>
          <w:szCs w:val="24"/>
        </w:rPr>
        <w:t>, así como el traslado de aquellos sobre los cuales vaya cumpliéndose el plazo de prescripción, antes indicado</w:t>
      </w:r>
      <w:r w:rsidR="00DC523D" w:rsidRPr="00B340C5">
        <w:rPr>
          <w:rFonts w:cs="Times New Roman"/>
          <w:szCs w:val="24"/>
        </w:rPr>
        <w:t>,</w:t>
      </w:r>
      <w:r w:rsidR="006D0ACC" w:rsidRPr="00B340C5">
        <w:rPr>
          <w:rFonts w:cs="Times New Roman"/>
          <w:szCs w:val="24"/>
        </w:rPr>
        <w:t xml:space="preserve"> a efecto de no limitar  los alcances de dicho acuerdo al traslado de los fondos de los registros erróneos, si no ampliarlo a los recursos acumulados en las cuentas de aportes por asignar.</w:t>
      </w:r>
    </w:p>
    <w:p w14:paraId="29E7D63A" w14:textId="77777777" w:rsidR="005A0E21" w:rsidRPr="00B340C5" w:rsidRDefault="005A0E21" w:rsidP="00B340C5">
      <w:pPr>
        <w:pStyle w:val="Prrafodelista"/>
        <w:spacing w:line="240" w:lineRule="auto"/>
        <w:jc w:val="both"/>
        <w:rPr>
          <w:rFonts w:cs="Times New Roman"/>
          <w:szCs w:val="24"/>
        </w:rPr>
      </w:pPr>
    </w:p>
    <w:p w14:paraId="67D6B6F2" w14:textId="0F794DE6" w:rsidR="008C1C9B" w:rsidRPr="00B340C5" w:rsidRDefault="008C1C9B" w:rsidP="00B340C5">
      <w:pPr>
        <w:pStyle w:val="Prrafodelista"/>
        <w:numPr>
          <w:ilvl w:val="0"/>
          <w:numId w:val="7"/>
        </w:numPr>
        <w:spacing w:line="240" w:lineRule="auto"/>
        <w:jc w:val="both"/>
        <w:rPr>
          <w:rFonts w:cs="Times New Roman"/>
          <w:szCs w:val="24"/>
        </w:rPr>
      </w:pPr>
      <w:r w:rsidRPr="00B340C5">
        <w:rPr>
          <w:rFonts w:cs="Times New Roman"/>
          <w:szCs w:val="24"/>
        </w:rPr>
        <w:t>Acuerdo SP-A-225 de las trece horas del día siete de agosto de 2020, disposiciones para la corrección de errores en la gestión de cuentas individuales, en lo que respecta a su alcance, a fin de que este se amplie a la corrección de errores en la gestión de los registros erróneos en la cuenta individual, el manejo de recursos ante el error y suministros de información al supervisor.</w:t>
      </w:r>
    </w:p>
    <w:p w14:paraId="49768239" w14:textId="77777777" w:rsidR="00054C68" w:rsidRPr="00B340C5" w:rsidRDefault="00054C68" w:rsidP="00B340C5">
      <w:pPr>
        <w:pStyle w:val="Prrafodelista"/>
        <w:spacing w:line="240" w:lineRule="auto"/>
        <w:rPr>
          <w:rFonts w:cs="Times New Roman"/>
          <w:szCs w:val="24"/>
        </w:rPr>
      </w:pPr>
    </w:p>
    <w:p w14:paraId="15FAFDF4" w14:textId="33355BD3" w:rsidR="005A0E21" w:rsidRPr="00B340C5" w:rsidRDefault="008C1C9B" w:rsidP="00B340C5">
      <w:pPr>
        <w:pStyle w:val="Prrafodelista"/>
        <w:spacing w:line="240" w:lineRule="auto"/>
        <w:jc w:val="both"/>
        <w:rPr>
          <w:rFonts w:cs="Times New Roman"/>
          <w:szCs w:val="24"/>
        </w:rPr>
      </w:pPr>
      <w:r w:rsidRPr="00B340C5">
        <w:rPr>
          <w:rFonts w:cs="Times New Roman"/>
          <w:szCs w:val="24"/>
        </w:rPr>
        <w:lastRenderedPageBreak/>
        <w:t>Asimismo, y producto de la inclusión mencionada, se procede a ajustar el apartado de definiciones del acuerdo, a fin de incluir las definiciones de “Registro erróneo” y “Cuenta de registros erróneos”, y se reforma la definición de “Auxiliar de errores en la gestión de la cuenta individual”</w:t>
      </w:r>
      <w:r w:rsidR="005A0E21" w:rsidRPr="00B340C5">
        <w:rPr>
          <w:rFonts w:cs="Times New Roman"/>
          <w:szCs w:val="24"/>
        </w:rPr>
        <w:t>.</w:t>
      </w:r>
    </w:p>
    <w:p w14:paraId="7FE7D4D3" w14:textId="77777777" w:rsidR="00112A23" w:rsidRPr="00B340C5" w:rsidRDefault="00112A23" w:rsidP="00B340C5">
      <w:pPr>
        <w:pStyle w:val="Prrafodelista"/>
        <w:spacing w:line="240" w:lineRule="auto"/>
        <w:rPr>
          <w:rFonts w:cs="Times New Roman"/>
          <w:szCs w:val="24"/>
        </w:rPr>
      </w:pPr>
    </w:p>
    <w:p w14:paraId="58ED422C" w14:textId="2D64ED77" w:rsidR="005A0E21" w:rsidRPr="00B340C5" w:rsidRDefault="005A0E21" w:rsidP="00B340C5">
      <w:pPr>
        <w:pStyle w:val="Prrafodelista"/>
        <w:numPr>
          <w:ilvl w:val="0"/>
          <w:numId w:val="7"/>
        </w:numPr>
        <w:spacing w:line="240" w:lineRule="auto"/>
        <w:jc w:val="both"/>
        <w:rPr>
          <w:rFonts w:cs="Times New Roman"/>
          <w:szCs w:val="24"/>
        </w:rPr>
      </w:pPr>
      <w:r w:rsidRPr="00B340C5">
        <w:rPr>
          <w:rFonts w:cs="Times New Roman"/>
          <w:szCs w:val="24"/>
        </w:rPr>
        <w:t xml:space="preserve">Acuerdo </w:t>
      </w:r>
      <w:r w:rsidRPr="00B340C5">
        <w:rPr>
          <w:rFonts w:cs="Times New Roman"/>
          <w:i/>
          <w:iCs/>
          <w:szCs w:val="24"/>
        </w:rPr>
        <w:t>SP-A-137-2010, de las quince horas del día veintidós de marzo de dos mil diez</w:t>
      </w:r>
      <w:r w:rsidRPr="00B340C5">
        <w:rPr>
          <w:rFonts w:cs="Times New Roman"/>
          <w:szCs w:val="24"/>
        </w:rPr>
        <w:t xml:space="preserve">, denominado </w:t>
      </w:r>
      <w:r w:rsidRPr="00B340C5">
        <w:rPr>
          <w:rFonts w:cs="Times New Roman"/>
          <w:i/>
          <w:iCs/>
          <w:szCs w:val="24"/>
        </w:rPr>
        <w:t>Plazo y forma de los traslados de recursos de la cuenta individual de los afiliados al Régimen de Capitalización Individual</w:t>
      </w:r>
      <w:r w:rsidRPr="00B340C5">
        <w:rPr>
          <w:rFonts w:cs="Times New Roman"/>
          <w:szCs w:val="24"/>
        </w:rPr>
        <w:t>, a efecto de eliminar las referencias al traslado de recursos entre entidades, con motivo del cambio de operadora adjudicataria para la administración de los recursos correspondientes a registros erróneos.</w:t>
      </w:r>
    </w:p>
    <w:p w14:paraId="13F6B9D6" w14:textId="77777777" w:rsidR="00112A23" w:rsidRDefault="00112A23" w:rsidP="00B340C5">
      <w:pPr>
        <w:pStyle w:val="Prrafodelista"/>
        <w:spacing w:line="240" w:lineRule="auto"/>
        <w:jc w:val="both"/>
        <w:rPr>
          <w:rFonts w:cs="Times New Roman"/>
          <w:szCs w:val="24"/>
        </w:rPr>
      </w:pPr>
    </w:p>
    <w:p w14:paraId="7B5CD22E" w14:textId="77777777" w:rsidR="00B340C5" w:rsidRPr="00B340C5" w:rsidRDefault="00B340C5" w:rsidP="00B340C5">
      <w:pPr>
        <w:pStyle w:val="Prrafodelista"/>
        <w:spacing w:line="240" w:lineRule="auto"/>
        <w:jc w:val="both"/>
        <w:rPr>
          <w:rFonts w:cs="Times New Roman"/>
          <w:szCs w:val="24"/>
        </w:rPr>
      </w:pPr>
    </w:p>
    <w:p w14:paraId="2110653B" w14:textId="3A47B348" w:rsidR="005A0E21" w:rsidRPr="00B340C5" w:rsidRDefault="005A0E21" w:rsidP="00B340C5">
      <w:pPr>
        <w:spacing w:line="240" w:lineRule="auto"/>
        <w:contextualSpacing/>
        <w:jc w:val="center"/>
        <w:rPr>
          <w:rFonts w:cs="Times New Roman"/>
          <w:b/>
          <w:bCs/>
          <w:szCs w:val="24"/>
        </w:rPr>
      </w:pPr>
      <w:r w:rsidRPr="00B340C5">
        <w:rPr>
          <w:rFonts w:cs="Times New Roman"/>
          <w:b/>
          <w:bCs/>
          <w:szCs w:val="24"/>
        </w:rPr>
        <w:t>POR TANTO:</w:t>
      </w:r>
    </w:p>
    <w:p w14:paraId="6BB594E4" w14:textId="77777777" w:rsidR="00112A23" w:rsidRPr="00B340C5" w:rsidRDefault="00112A23" w:rsidP="00B340C5">
      <w:pPr>
        <w:spacing w:line="240" w:lineRule="auto"/>
        <w:contextualSpacing/>
        <w:jc w:val="center"/>
        <w:rPr>
          <w:rFonts w:cs="Times New Roman"/>
          <w:b/>
          <w:bCs/>
          <w:szCs w:val="24"/>
        </w:rPr>
      </w:pPr>
    </w:p>
    <w:p w14:paraId="0D085AB5" w14:textId="400E53B9" w:rsidR="005A0E21" w:rsidRPr="00B340C5" w:rsidRDefault="005A0E21" w:rsidP="00B340C5">
      <w:pPr>
        <w:spacing w:line="240" w:lineRule="auto"/>
        <w:contextualSpacing/>
        <w:jc w:val="both"/>
        <w:rPr>
          <w:rFonts w:cs="Times New Roman"/>
          <w:szCs w:val="24"/>
        </w:rPr>
      </w:pPr>
      <w:r w:rsidRPr="00B340C5">
        <w:rPr>
          <w:rFonts w:cs="Times New Roman"/>
          <w:b/>
          <w:bCs/>
          <w:szCs w:val="24"/>
        </w:rPr>
        <w:t>PRIMERO:</w:t>
      </w:r>
      <w:r w:rsidRPr="00B340C5">
        <w:rPr>
          <w:rFonts w:cs="Times New Roman"/>
          <w:szCs w:val="24"/>
        </w:rPr>
        <w:t xml:space="preserve"> Se modifica íntegramente el acuerdo </w:t>
      </w:r>
      <w:r w:rsidRPr="00B340C5">
        <w:rPr>
          <w:rFonts w:cs="Times New Roman"/>
          <w:i/>
          <w:iCs/>
          <w:szCs w:val="24"/>
        </w:rPr>
        <w:t>SP-A-251-2022 de las quince horas del día diecisiete de febrero del año dos mil veintidós</w:t>
      </w:r>
      <w:r w:rsidRPr="00B340C5">
        <w:rPr>
          <w:rFonts w:cs="Times New Roman"/>
          <w:szCs w:val="24"/>
        </w:rPr>
        <w:t>, para que en adelante se lea de la siguiente manera:</w:t>
      </w:r>
    </w:p>
    <w:p w14:paraId="00AEBFAB" w14:textId="77777777" w:rsidR="00112A23" w:rsidRPr="00C62829" w:rsidRDefault="00112A23" w:rsidP="00B340C5">
      <w:pPr>
        <w:spacing w:line="240" w:lineRule="auto"/>
        <w:contextualSpacing/>
        <w:jc w:val="both"/>
        <w:rPr>
          <w:rFonts w:cs="Times New Roman"/>
          <w:szCs w:val="24"/>
        </w:rPr>
      </w:pPr>
    </w:p>
    <w:p w14:paraId="27212DF3" w14:textId="0278456C" w:rsidR="00A01437" w:rsidRPr="00C62829" w:rsidRDefault="00B9056F" w:rsidP="00B340C5">
      <w:pPr>
        <w:spacing w:line="240" w:lineRule="auto"/>
        <w:contextualSpacing/>
        <w:jc w:val="both"/>
        <w:rPr>
          <w:rFonts w:cs="Times New Roman"/>
          <w:szCs w:val="24"/>
        </w:rPr>
      </w:pPr>
      <w:r w:rsidRPr="00C62829">
        <w:rPr>
          <w:rFonts w:cs="Times New Roman"/>
          <w:szCs w:val="24"/>
        </w:rPr>
        <w:t>“</w:t>
      </w:r>
    </w:p>
    <w:p w14:paraId="148C962B" w14:textId="6B6271A0" w:rsidR="005A0E21" w:rsidRPr="00B9056F" w:rsidRDefault="005A0E21" w:rsidP="00B9056F">
      <w:pPr>
        <w:pStyle w:val="Prrafodelista"/>
        <w:numPr>
          <w:ilvl w:val="0"/>
          <w:numId w:val="8"/>
        </w:numPr>
        <w:spacing w:line="240" w:lineRule="auto"/>
        <w:jc w:val="both"/>
        <w:rPr>
          <w:rFonts w:cs="Times New Roman"/>
          <w:b/>
          <w:bCs/>
          <w:szCs w:val="24"/>
        </w:rPr>
      </w:pPr>
      <w:r w:rsidRPr="00B9056F">
        <w:rPr>
          <w:rFonts w:cs="Times New Roman"/>
          <w:b/>
          <w:bCs/>
          <w:szCs w:val="24"/>
        </w:rPr>
        <w:t>Alcance</w:t>
      </w:r>
      <w:r w:rsidR="00A01437" w:rsidRPr="00B9056F">
        <w:rPr>
          <w:rFonts w:cs="Times New Roman"/>
          <w:b/>
          <w:bCs/>
          <w:szCs w:val="24"/>
        </w:rPr>
        <w:t>.</w:t>
      </w:r>
    </w:p>
    <w:p w14:paraId="5987E1BC" w14:textId="77777777" w:rsidR="00A01437" w:rsidRPr="00C8337A" w:rsidRDefault="00A01437" w:rsidP="00B340C5">
      <w:pPr>
        <w:spacing w:line="240" w:lineRule="auto"/>
        <w:contextualSpacing/>
        <w:jc w:val="both"/>
        <w:rPr>
          <w:rFonts w:cs="Times New Roman"/>
          <w:szCs w:val="24"/>
          <w:highlight w:val="yellow"/>
        </w:rPr>
      </w:pPr>
    </w:p>
    <w:p w14:paraId="70699CE0" w14:textId="1B15340A" w:rsidR="005A0E21" w:rsidRPr="00B340C5" w:rsidRDefault="005A0E21" w:rsidP="00B9056F">
      <w:pPr>
        <w:spacing w:line="240" w:lineRule="auto"/>
        <w:ind w:left="708"/>
        <w:contextualSpacing/>
        <w:jc w:val="both"/>
        <w:rPr>
          <w:rFonts w:cs="Times New Roman"/>
          <w:szCs w:val="24"/>
        </w:rPr>
      </w:pPr>
      <w:r w:rsidRPr="00B9056F">
        <w:rPr>
          <w:rFonts w:cs="Times New Roman"/>
          <w:szCs w:val="24"/>
        </w:rPr>
        <w:t>Estas disposiciones resultan de aplicación al traslado de recursos al Régimen no Contributivo de Pensiones administrado por la Caja Costarricense de Seguro Social, correspondientes a los registros erróneos</w:t>
      </w:r>
      <w:r w:rsidR="009708C0" w:rsidRPr="00B9056F">
        <w:rPr>
          <w:rFonts w:cs="Times New Roman"/>
          <w:szCs w:val="24"/>
        </w:rPr>
        <w:t xml:space="preserve"> y</w:t>
      </w:r>
      <w:r w:rsidRPr="00B9056F">
        <w:rPr>
          <w:rFonts w:cs="Times New Roman"/>
          <w:szCs w:val="24"/>
        </w:rPr>
        <w:t xml:space="preserve"> aportes por asignar, sobre los cuales haya recaído la prescripción decenal prevista en el artículo 77 de la Ley de Protección al Trabajador.</w:t>
      </w:r>
    </w:p>
    <w:p w14:paraId="1EB4327E" w14:textId="77777777" w:rsidR="005A0E21" w:rsidRPr="00B340C5" w:rsidRDefault="005A0E21" w:rsidP="00B340C5">
      <w:pPr>
        <w:spacing w:line="240" w:lineRule="auto"/>
        <w:contextualSpacing/>
        <w:jc w:val="both"/>
        <w:rPr>
          <w:rFonts w:cs="Times New Roman"/>
          <w:szCs w:val="24"/>
        </w:rPr>
      </w:pPr>
    </w:p>
    <w:p w14:paraId="72AACA44" w14:textId="785F298B" w:rsidR="00A01437" w:rsidRPr="00A01437" w:rsidRDefault="003017CC" w:rsidP="00A01437">
      <w:pPr>
        <w:pStyle w:val="Prrafodelista"/>
        <w:numPr>
          <w:ilvl w:val="0"/>
          <w:numId w:val="8"/>
        </w:numPr>
        <w:spacing w:line="240" w:lineRule="auto"/>
        <w:jc w:val="both"/>
        <w:rPr>
          <w:rFonts w:cs="Times New Roman"/>
          <w:b/>
          <w:bCs/>
          <w:szCs w:val="24"/>
        </w:rPr>
      </w:pPr>
      <w:r w:rsidRPr="00B340C5">
        <w:rPr>
          <w:rFonts w:cs="Times New Roman"/>
          <w:b/>
          <w:bCs/>
          <w:szCs w:val="24"/>
        </w:rPr>
        <w:t>Disposiciones relativas al traslado del acumulado de recursos correspondientes a registros erróneos administrados por las operadoras, así como los recursos acumulados en las cuentas de aportes por asignar</w:t>
      </w:r>
      <w:r w:rsidR="005A0E21" w:rsidRPr="00B340C5">
        <w:rPr>
          <w:rFonts w:cs="Times New Roman"/>
          <w:b/>
          <w:bCs/>
          <w:szCs w:val="24"/>
        </w:rPr>
        <w:t>.</w:t>
      </w:r>
    </w:p>
    <w:p w14:paraId="1519EB29" w14:textId="77777777" w:rsidR="00112A23" w:rsidRPr="00B340C5" w:rsidRDefault="00112A23" w:rsidP="00B340C5">
      <w:pPr>
        <w:pStyle w:val="Prrafodelista"/>
        <w:spacing w:line="240" w:lineRule="auto"/>
        <w:jc w:val="both"/>
        <w:rPr>
          <w:rFonts w:cs="Times New Roman"/>
          <w:szCs w:val="24"/>
        </w:rPr>
      </w:pPr>
    </w:p>
    <w:p w14:paraId="76F21B5F" w14:textId="44A70624" w:rsidR="005A0E21" w:rsidRPr="00B340C5" w:rsidRDefault="00896C15" w:rsidP="00B340C5">
      <w:pPr>
        <w:pStyle w:val="Prrafodelista"/>
        <w:spacing w:line="240" w:lineRule="auto"/>
        <w:jc w:val="both"/>
        <w:rPr>
          <w:rFonts w:cs="Times New Roman"/>
          <w:szCs w:val="24"/>
        </w:rPr>
      </w:pPr>
      <w:r w:rsidRPr="00B340C5">
        <w:rPr>
          <w:rFonts w:cs="Times New Roman"/>
          <w:szCs w:val="24"/>
        </w:rPr>
        <w:t>Las operadoras de pensiones complementarias informarán a la Caja Costarricense de Seguro Social los montos en efectivo que serán trasladados al Régimen No Contributivo de Pensiones por cumplimiento del plazo de prescripción señalado en el artículo 77 de la ley No. 7983.  Por su parte, la CCSS deberá indicarle a la operadora la fecha en la cual requerirá se realicen los desembolsos, de acuerdo con sus necesidades presupuestarias</w:t>
      </w:r>
      <w:r w:rsidR="005A0E21" w:rsidRPr="00B340C5">
        <w:rPr>
          <w:rFonts w:cs="Times New Roman"/>
          <w:szCs w:val="24"/>
        </w:rPr>
        <w:t>.</w:t>
      </w:r>
    </w:p>
    <w:p w14:paraId="313D33FC" w14:textId="77777777" w:rsidR="00E01986" w:rsidRPr="00B340C5" w:rsidRDefault="00E01986" w:rsidP="00B340C5">
      <w:pPr>
        <w:pStyle w:val="Prrafodelista"/>
        <w:spacing w:line="240" w:lineRule="auto"/>
        <w:jc w:val="both"/>
        <w:rPr>
          <w:rFonts w:cs="Times New Roman"/>
          <w:szCs w:val="24"/>
        </w:rPr>
      </w:pPr>
    </w:p>
    <w:p w14:paraId="0DFEFFD4" w14:textId="3FAEF654" w:rsidR="00112A23" w:rsidRPr="00B340C5" w:rsidRDefault="005A0E21" w:rsidP="00B340C5">
      <w:pPr>
        <w:pStyle w:val="Prrafodelista"/>
        <w:numPr>
          <w:ilvl w:val="0"/>
          <w:numId w:val="8"/>
        </w:numPr>
        <w:spacing w:line="240" w:lineRule="auto"/>
        <w:jc w:val="both"/>
        <w:rPr>
          <w:rFonts w:cs="Times New Roman"/>
          <w:b/>
          <w:bCs/>
          <w:szCs w:val="24"/>
        </w:rPr>
      </w:pPr>
      <w:r w:rsidRPr="00B340C5">
        <w:rPr>
          <w:rFonts w:cs="Times New Roman"/>
          <w:b/>
          <w:bCs/>
          <w:szCs w:val="24"/>
        </w:rPr>
        <w:t>Forma y medio para realizar los traslados</w:t>
      </w:r>
      <w:r w:rsidR="00B9056F">
        <w:rPr>
          <w:rFonts w:cs="Times New Roman"/>
          <w:b/>
          <w:bCs/>
          <w:szCs w:val="24"/>
        </w:rPr>
        <w:t>.</w:t>
      </w:r>
    </w:p>
    <w:p w14:paraId="21140549" w14:textId="77777777" w:rsidR="00112A23" w:rsidRPr="00B340C5" w:rsidRDefault="00112A23" w:rsidP="00B340C5">
      <w:pPr>
        <w:pStyle w:val="Prrafodelista"/>
        <w:spacing w:line="240" w:lineRule="auto"/>
        <w:jc w:val="both"/>
        <w:rPr>
          <w:rFonts w:cs="Times New Roman"/>
          <w:b/>
          <w:bCs/>
          <w:szCs w:val="24"/>
        </w:rPr>
      </w:pPr>
    </w:p>
    <w:p w14:paraId="44FE489C" w14:textId="7A86E5CC" w:rsidR="005A0E21" w:rsidRPr="00B340C5" w:rsidRDefault="006B2F72" w:rsidP="00B340C5">
      <w:pPr>
        <w:pStyle w:val="Prrafodelista"/>
        <w:spacing w:line="240" w:lineRule="auto"/>
        <w:jc w:val="both"/>
        <w:rPr>
          <w:rFonts w:cs="Times New Roman"/>
          <w:szCs w:val="24"/>
        </w:rPr>
      </w:pPr>
      <w:r w:rsidRPr="00B340C5">
        <w:rPr>
          <w:rFonts w:cs="Times New Roman"/>
          <w:szCs w:val="24"/>
        </w:rPr>
        <w:t>Los recursos correspondientes al artículo anterior deberán ser trasladados al Régimen No Contributivo de Pensiones en efectivo, en las fechas acordadas entre la Caja Costarricense de Seguro Social y la operadora de pensiones, por alguno de los siguientes medios</w:t>
      </w:r>
      <w:r w:rsidR="005A0E21" w:rsidRPr="00B340C5">
        <w:rPr>
          <w:rFonts w:cs="Times New Roman"/>
          <w:szCs w:val="24"/>
        </w:rPr>
        <w:t>:</w:t>
      </w:r>
    </w:p>
    <w:p w14:paraId="72CE0F7A" w14:textId="77777777" w:rsidR="00E0738C" w:rsidRPr="00B340C5" w:rsidRDefault="00E0738C" w:rsidP="00B340C5">
      <w:pPr>
        <w:pStyle w:val="Prrafodelista"/>
        <w:spacing w:line="240" w:lineRule="auto"/>
        <w:jc w:val="both"/>
        <w:rPr>
          <w:rFonts w:cs="Times New Roman"/>
          <w:szCs w:val="24"/>
        </w:rPr>
      </w:pPr>
    </w:p>
    <w:p w14:paraId="6A34540C" w14:textId="6724D47B" w:rsidR="005A0E21" w:rsidRPr="00B340C5" w:rsidRDefault="005A0E21" w:rsidP="00B340C5">
      <w:pPr>
        <w:pStyle w:val="Prrafodelista"/>
        <w:numPr>
          <w:ilvl w:val="0"/>
          <w:numId w:val="9"/>
        </w:numPr>
        <w:spacing w:line="240" w:lineRule="auto"/>
        <w:jc w:val="both"/>
        <w:rPr>
          <w:rFonts w:cs="Times New Roman"/>
          <w:szCs w:val="24"/>
        </w:rPr>
      </w:pPr>
      <w:r w:rsidRPr="00B340C5">
        <w:rPr>
          <w:rFonts w:cs="Times New Roman"/>
          <w:szCs w:val="24"/>
        </w:rPr>
        <w:lastRenderedPageBreak/>
        <w:t xml:space="preserve">A través del </w:t>
      </w:r>
      <w:r w:rsidRPr="00B340C5">
        <w:rPr>
          <w:rFonts w:cs="Times New Roman"/>
          <w:i/>
          <w:iCs/>
          <w:szCs w:val="24"/>
        </w:rPr>
        <w:t>Sistema Nacional de Pagos</w:t>
      </w:r>
      <w:r w:rsidRPr="00B340C5">
        <w:rPr>
          <w:rFonts w:cs="Times New Roman"/>
          <w:szCs w:val="24"/>
        </w:rPr>
        <w:t xml:space="preserve"> (SINPE), en la cuenta corriente que la CCSS deberá previamente informar a la operadora y a la Superintendencia de Pensiones. El traslado deberá efectuarse en tiempo real.</w:t>
      </w:r>
    </w:p>
    <w:p w14:paraId="1341BDCF" w14:textId="77777777" w:rsidR="009903C3" w:rsidRPr="00B340C5" w:rsidRDefault="009903C3" w:rsidP="00B340C5">
      <w:pPr>
        <w:pStyle w:val="Prrafodelista"/>
        <w:spacing w:line="240" w:lineRule="auto"/>
        <w:ind w:left="1080"/>
        <w:jc w:val="both"/>
        <w:rPr>
          <w:rFonts w:cs="Times New Roman"/>
          <w:szCs w:val="24"/>
        </w:rPr>
      </w:pPr>
    </w:p>
    <w:p w14:paraId="4643C617" w14:textId="797310C0" w:rsidR="0035179E" w:rsidRDefault="005A0E21" w:rsidP="00B340C5">
      <w:pPr>
        <w:pStyle w:val="Prrafodelista"/>
        <w:numPr>
          <w:ilvl w:val="0"/>
          <w:numId w:val="9"/>
        </w:numPr>
        <w:spacing w:line="240" w:lineRule="auto"/>
        <w:jc w:val="both"/>
        <w:rPr>
          <w:rFonts w:cs="Times New Roman"/>
          <w:szCs w:val="24"/>
        </w:rPr>
      </w:pPr>
      <w:r w:rsidRPr="00B340C5">
        <w:rPr>
          <w:rFonts w:cs="Times New Roman"/>
          <w:szCs w:val="24"/>
        </w:rPr>
        <w:t>Mediante transferencia entre cuentas a través de los medios dispuestos para ello por el intermediario financiero, si la operadora y el Régimen No Contributivo de Pensiones utilizan el mismo banco.</w:t>
      </w:r>
    </w:p>
    <w:p w14:paraId="7B4A5444" w14:textId="77777777" w:rsidR="00676D4E" w:rsidRPr="00676D4E" w:rsidRDefault="00676D4E" w:rsidP="00676D4E">
      <w:pPr>
        <w:spacing w:line="240" w:lineRule="auto"/>
        <w:jc w:val="both"/>
        <w:rPr>
          <w:rFonts w:cs="Times New Roman"/>
          <w:szCs w:val="24"/>
        </w:rPr>
      </w:pPr>
    </w:p>
    <w:p w14:paraId="5157C7D5" w14:textId="4FA73EEA" w:rsidR="005A0E21" w:rsidRPr="00C62829" w:rsidRDefault="005A0E21" w:rsidP="00C62829">
      <w:pPr>
        <w:pStyle w:val="Prrafodelista"/>
        <w:numPr>
          <w:ilvl w:val="0"/>
          <w:numId w:val="8"/>
        </w:numPr>
        <w:spacing w:line="240" w:lineRule="auto"/>
        <w:jc w:val="both"/>
        <w:rPr>
          <w:rFonts w:cs="Times New Roman"/>
          <w:b/>
          <w:bCs/>
          <w:szCs w:val="24"/>
        </w:rPr>
      </w:pPr>
      <w:r w:rsidRPr="00C62829">
        <w:rPr>
          <w:rFonts w:cs="Times New Roman"/>
          <w:b/>
          <w:bCs/>
          <w:szCs w:val="24"/>
        </w:rPr>
        <w:t>Fecha de los traslados</w:t>
      </w:r>
    </w:p>
    <w:p w14:paraId="021E97A9" w14:textId="77777777" w:rsidR="0035179E" w:rsidRPr="00B340C5" w:rsidRDefault="0035179E" w:rsidP="00B340C5">
      <w:pPr>
        <w:pStyle w:val="Prrafodelista"/>
        <w:spacing w:line="240" w:lineRule="auto"/>
        <w:jc w:val="both"/>
        <w:rPr>
          <w:rFonts w:cs="Times New Roman"/>
          <w:b/>
          <w:bCs/>
          <w:szCs w:val="24"/>
        </w:rPr>
      </w:pPr>
    </w:p>
    <w:p w14:paraId="2F9A0907" w14:textId="0A4FB860" w:rsidR="005A0E21" w:rsidRPr="00B340C5" w:rsidRDefault="005A0E21" w:rsidP="00B340C5">
      <w:pPr>
        <w:spacing w:line="240" w:lineRule="auto"/>
        <w:ind w:left="360"/>
        <w:contextualSpacing/>
        <w:jc w:val="both"/>
        <w:rPr>
          <w:rFonts w:cs="Times New Roman"/>
          <w:i/>
          <w:iCs/>
          <w:szCs w:val="24"/>
        </w:rPr>
      </w:pPr>
      <w:r w:rsidRPr="00B340C5">
        <w:rPr>
          <w:rFonts w:cs="Times New Roman"/>
          <w:szCs w:val="24"/>
        </w:rPr>
        <w:t>Los</w:t>
      </w:r>
      <w:r w:rsidR="00A66B58" w:rsidRPr="00B340C5">
        <w:rPr>
          <w:rFonts w:cs="Times New Roman"/>
          <w:szCs w:val="24"/>
        </w:rPr>
        <w:t xml:space="preserve"> </w:t>
      </w:r>
      <w:r w:rsidRPr="00B340C5">
        <w:rPr>
          <w:rFonts w:cs="Times New Roman"/>
          <w:szCs w:val="24"/>
        </w:rPr>
        <w:t xml:space="preserve">traslados periódicos que deban realizarse se verificarán en las fechas previstas en los Tras 18 y Tras 19 del artículo 2 del </w:t>
      </w:r>
      <w:r w:rsidR="00767205" w:rsidRPr="00B340C5">
        <w:rPr>
          <w:rFonts w:cs="Times New Roman"/>
          <w:szCs w:val="24"/>
        </w:rPr>
        <w:t>A</w:t>
      </w:r>
      <w:r w:rsidRPr="00B340C5">
        <w:rPr>
          <w:rFonts w:cs="Times New Roman"/>
          <w:szCs w:val="24"/>
        </w:rPr>
        <w:t xml:space="preserve">cuerdo </w:t>
      </w:r>
      <w:r w:rsidRPr="00B340C5">
        <w:rPr>
          <w:rFonts w:cs="Times New Roman"/>
          <w:i/>
          <w:iCs/>
          <w:szCs w:val="24"/>
        </w:rPr>
        <w:t>SP-A-137-2010, Plazo y forma de los traslados de recursos de la cuenta individual de los afiliados al Régimen de Capitalización Individual,</w:t>
      </w:r>
      <w:r w:rsidRPr="00B340C5">
        <w:rPr>
          <w:rFonts w:cs="Times New Roman"/>
          <w:szCs w:val="24"/>
        </w:rPr>
        <w:t xml:space="preserve"> de las quince horas del día veintidós de marzo de 2010.</w:t>
      </w:r>
    </w:p>
    <w:p w14:paraId="0ED0A4D9" w14:textId="77777777" w:rsidR="0035179E" w:rsidRPr="00B340C5" w:rsidRDefault="0035179E" w:rsidP="00B340C5">
      <w:pPr>
        <w:spacing w:line="240" w:lineRule="auto"/>
        <w:contextualSpacing/>
        <w:jc w:val="both"/>
        <w:rPr>
          <w:rFonts w:cs="Times New Roman"/>
          <w:szCs w:val="24"/>
        </w:rPr>
      </w:pPr>
    </w:p>
    <w:p w14:paraId="4359126E" w14:textId="010920B6" w:rsidR="005A0E21" w:rsidRPr="00C62829" w:rsidRDefault="00F67EC5" w:rsidP="00C62829">
      <w:pPr>
        <w:pStyle w:val="Prrafodelista"/>
        <w:numPr>
          <w:ilvl w:val="0"/>
          <w:numId w:val="8"/>
        </w:numPr>
        <w:spacing w:line="240" w:lineRule="auto"/>
        <w:jc w:val="both"/>
        <w:rPr>
          <w:rFonts w:cs="Times New Roman"/>
          <w:b/>
          <w:bCs/>
          <w:szCs w:val="24"/>
        </w:rPr>
      </w:pPr>
      <w:r w:rsidRPr="00C62829">
        <w:rPr>
          <w:rFonts w:cs="Times New Roman"/>
          <w:b/>
          <w:bCs/>
          <w:szCs w:val="24"/>
        </w:rPr>
        <w:t>Información requerida, para efectos de supervisión, a las operadoras de pensiones administradoras de registros erróneos y aportes por asignar hacia al RNC y a la CCSS</w:t>
      </w:r>
      <w:r w:rsidR="005A0E21" w:rsidRPr="00C62829">
        <w:rPr>
          <w:rFonts w:cs="Times New Roman"/>
          <w:b/>
          <w:bCs/>
          <w:szCs w:val="24"/>
        </w:rPr>
        <w:t>.</w:t>
      </w:r>
    </w:p>
    <w:p w14:paraId="7240B44D" w14:textId="77777777" w:rsidR="0035179E" w:rsidRPr="00B340C5" w:rsidRDefault="0035179E" w:rsidP="00B340C5">
      <w:pPr>
        <w:spacing w:line="240" w:lineRule="auto"/>
        <w:contextualSpacing/>
        <w:jc w:val="both"/>
        <w:rPr>
          <w:rFonts w:cs="Times New Roman"/>
          <w:b/>
          <w:bCs/>
          <w:szCs w:val="24"/>
        </w:rPr>
      </w:pPr>
    </w:p>
    <w:p w14:paraId="4B24EB57" w14:textId="3686C5C5" w:rsidR="005A0E21" w:rsidRPr="00B340C5" w:rsidRDefault="00BF3A3A" w:rsidP="00B340C5">
      <w:pPr>
        <w:spacing w:line="240" w:lineRule="auto"/>
        <w:ind w:left="360"/>
        <w:contextualSpacing/>
        <w:jc w:val="both"/>
        <w:rPr>
          <w:rFonts w:cs="Times New Roman"/>
          <w:szCs w:val="24"/>
        </w:rPr>
      </w:pPr>
      <w:r w:rsidRPr="00B340C5">
        <w:rPr>
          <w:rFonts w:cs="Times New Roman"/>
          <w:szCs w:val="24"/>
        </w:rPr>
        <w:t xml:space="preserve">La operadora de pensiones debe </w:t>
      </w:r>
      <w:r w:rsidR="005A0E21" w:rsidRPr="00B340C5">
        <w:rPr>
          <w:rFonts w:cs="Times New Roman"/>
          <w:szCs w:val="24"/>
        </w:rPr>
        <w:t>remitir a la SUPEN, según el formato adjunto como Anexo 1), el detalle del traslado realizado, el mismo día en que la transferencia se verificó.</w:t>
      </w:r>
    </w:p>
    <w:p w14:paraId="1C26DCAC" w14:textId="77777777" w:rsidR="00C94885" w:rsidRPr="00B340C5" w:rsidRDefault="00C94885" w:rsidP="00B340C5">
      <w:pPr>
        <w:spacing w:line="240" w:lineRule="auto"/>
        <w:ind w:left="360"/>
        <w:contextualSpacing/>
        <w:jc w:val="both"/>
        <w:rPr>
          <w:rFonts w:cs="Times New Roman"/>
          <w:szCs w:val="24"/>
        </w:rPr>
      </w:pPr>
    </w:p>
    <w:p w14:paraId="6265393A" w14:textId="05DC416C" w:rsidR="005A0E21" w:rsidRPr="00B340C5" w:rsidRDefault="005A0E21" w:rsidP="00B340C5">
      <w:pPr>
        <w:spacing w:line="240" w:lineRule="auto"/>
        <w:ind w:left="360"/>
        <w:contextualSpacing/>
        <w:jc w:val="both"/>
        <w:rPr>
          <w:rFonts w:cs="Times New Roman"/>
          <w:szCs w:val="24"/>
        </w:rPr>
      </w:pPr>
      <w:r w:rsidRPr="00B340C5">
        <w:rPr>
          <w:rFonts w:cs="Times New Roman"/>
          <w:szCs w:val="24"/>
        </w:rPr>
        <w:t>La CCSS debe remitir a la SUPEN, en lo que al R</w:t>
      </w:r>
      <w:r w:rsidR="00C94885" w:rsidRPr="00B340C5">
        <w:rPr>
          <w:rFonts w:cs="Times New Roman"/>
          <w:szCs w:val="24"/>
        </w:rPr>
        <w:t xml:space="preserve">égimen No Contributivo de Pensiones </w:t>
      </w:r>
      <w:r w:rsidRPr="00B340C5">
        <w:rPr>
          <w:rFonts w:cs="Times New Roman"/>
          <w:szCs w:val="24"/>
        </w:rPr>
        <w:t>se refiere, la siguiente información, en los indicados plazos:</w:t>
      </w:r>
    </w:p>
    <w:p w14:paraId="253FAC04" w14:textId="77777777" w:rsidR="0035179E" w:rsidRPr="00B340C5" w:rsidRDefault="0035179E" w:rsidP="00B340C5">
      <w:pPr>
        <w:spacing w:line="240" w:lineRule="auto"/>
        <w:ind w:left="360"/>
        <w:contextualSpacing/>
        <w:jc w:val="both"/>
        <w:rPr>
          <w:rFonts w:cs="Times New Roman"/>
          <w:szCs w:val="24"/>
        </w:rPr>
      </w:pPr>
    </w:p>
    <w:p w14:paraId="605150FE" w14:textId="4242B1E5" w:rsidR="005A0E21" w:rsidRPr="00B340C5" w:rsidRDefault="000A078F" w:rsidP="00B340C5">
      <w:pPr>
        <w:pStyle w:val="Prrafodelista"/>
        <w:numPr>
          <w:ilvl w:val="0"/>
          <w:numId w:val="10"/>
        </w:numPr>
        <w:spacing w:line="240" w:lineRule="auto"/>
        <w:jc w:val="both"/>
        <w:rPr>
          <w:rFonts w:cs="Times New Roman"/>
          <w:szCs w:val="24"/>
        </w:rPr>
      </w:pPr>
      <w:r w:rsidRPr="00B340C5">
        <w:rPr>
          <w:rFonts w:cs="Times New Roman"/>
          <w:szCs w:val="24"/>
        </w:rPr>
        <w:t>Movimiento bancario del ingreso de recursos por parte de las Operadoras de Pensiones, el día siguiente hábil del ingreso de recursos</w:t>
      </w:r>
      <w:r w:rsidR="005A0E21" w:rsidRPr="00B340C5">
        <w:rPr>
          <w:rFonts w:cs="Times New Roman"/>
          <w:szCs w:val="24"/>
        </w:rPr>
        <w:t>.</w:t>
      </w:r>
    </w:p>
    <w:p w14:paraId="76E6FBBF" w14:textId="77777777" w:rsidR="00334A38" w:rsidRPr="00B340C5" w:rsidRDefault="00334A38" w:rsidP="00B340C5">
      <w:pPr>
        <w:pStyle w:val="Prrafodelista"/>
        <w:spacing w:line="240" w:lineRule="auto"/>
        <w:jc w:val="both"/>
        <w:rPr>
          <w:rFonts w:cs="Times New Roman"/>
          <w:szCs w:val="24"/>
        </w:rPr>
      </w:pPr>
    </w:p>
    <w:p w14:paraId="2A9D01D5" w14:textId="4373C4C0" w:rsidR="005A0E21" w:rsidRPr="00B340C5" w:rsidRDefault="00991045" w:rsidP="00B340C5">
      <w:pPr>
        <w:pStyle w:val="Prrafodelista"/>
        <w:numPr>
          <w:ilvl w:val="0"/>
          <w:numId w:val="10"/>
        </w:numPr>
        <w:spacing w:line="240" w:lineRule="auto"/>
        <w:jc w:val="both"/>
        <w:rPr>
          <w:rFonts w:cs="Times New Roman"/>
          <w:szCs w:val="24"/>
        </w:rPr>
      </w:pPr>
      <w:r w:rsidRPr="00B340C5">
        <w:rPr>
          <w:rFonts w:cs="Times New Roman"/>
          <w:szCs w:val="24"/>
        </w:rPr>
        <w:t>Estado mensual de la Cuenta Bancaria, los primeros tres días hábiles del mes siguiente</w:t>
      </w:r>
      <w:r w:rsidR="005A0E21" w:rsidRPr="00B340C5">
        <w:rPr>
          <w:rFonts w:cs="Times New Roman"/>
          <w:szCs w:val="24"/>
        </w:rPr>
        <w:t>.</w:t>
      </w:r>
    </w:p>
    <w:p w14:paraId="5D726716" w14:textId="77777777" w:rsidR="00991045" w:rsidRPr="00B340C5" w:rsidRDefault="00991045" w:rsidP="00B340C5">
      <w:pPr>
        <w:pStyle w:val="Prrafodelista"/>
        <w:spacing w:line="240" w:lineRule="auto"/>
        <w:rPr>
          <w:rFonts w:cs="Times New Roman"/>
          <w:szCs w:val="24"/>
        </w:rPr>
      </w:pPr>
    </w:p>
    <w:p w14:paraId="645C0EE2" w14:textId="7EC82AA2" w:rsidR="005A0E21" w:rsidRPr="00B340C5" w:rsidRDefault="002623B1" w:rsidP="00B340C5">
      <w:pPr>
        <w:pStyle w:val="Prrafodelista"/>
        <w:numPr>
          <w:ilvl w:val="0"/>
          <w:numId w:val="10"/>
        </w:numPr>
        <w:spacing w:line="240" w:lineRule="auto"/>
        <w:jc w:val="both"/>
        <w:rPr>
          <w:rFonts w:cs="Times New Roman"/>
          <w:szCs w:val="24"/>
        </w:rPr>
      </w:pPr>
      <w:r w:rsidRPr="00B340C5">
        <w:rPr>
          <w:rFonts w:cs="Times New Roman"/>
          <w:szCs w:val="24"/>
        </w:rPr>
        <w:t>Informe de la proporción del pago de la planilla del Régimen No Contributivo de Pensiones, los primeros tres días hábiles del mes siguiente, donde quede acreditado el uso de los recursos provenientes de la operadora</w:t>
      </w:r>
      <w:r w:rsidR="005A0E21" w:rsidRPr="00B340C5">
        <w:rPr>
          <w:rFonts w:cs="Times New Roman"/>
          <w:szCs w:val="24"/>
        </w:rPr>
        <w:t>.</w:t>
      </w:r>
    </w:p>
    <w:p w14:paraId="6ACFD5A2" w14:textId="77777777" w:rsidR="00334A38" w:rsidRPr="00B340C5" w:rsidRDefault="00334A38" w:rsidP="00B340C5">
      <w:pPr>
        <w:pStyle w:val="Prrafodelista"/>
        <w:spacing w:line="240" w:lineRule="auto"/>
        <w:jc w:val="both"/>
        <w:rPr>
          <w:rFonts w:cs="Times New Roman"/>
          <w:szCs w:val="24"/>
        </w:rPr>
      </w:pPr>
    </w:p>
    <w:p w14:paraId="3AB3F162" w14:textId="0C54FE62" w:rsidR="005A0E21" w:rsidRPr="00B340C5" w:rsidRDefault="009F5D8A" w:rsidP="00B340C5">
      <w:pPr>
        <w:pStyle w:val="Prrafodelista"/>
        <w:numPr>
          <w:ilvl w:val="0"/>
          <w:numId w:val="10"/>
        </w:numPr>
        <w:spacing w:line="240" w:lineRule="auto"/>
        <w:jc w:val="both"/>
        <w:rPr>
          <w:rFonts w:cs="Times New Roman"/>
          <w:szCs w:val="24"/>
        </w:rPr>
      </w:pPr>
      <w:r w:rsidRPr="00B340C5">
        <w:rPr>
          <w:rFonts w:cs="Times New Roman"/>
          <w:szCs w:val="24"/>
        </w:rPr>
        <w:t>Flujo de efectivo mensual, los primeros tres días hábiles posteriores a la conciliación del flujo</w:t>
      </w:r>
      <w:r w:rsidR="005A0E21" w:rsidRPr="00B340C5">
        <w:rPr>
          <w:rFonts w:cs="Times New Roman"/>
          <w:szCs w:val="24"/>
        </w:rPr>
        <w:t>.</w:t>
      </w:r>
    </w:p>
    <w:p w14:paraId="5B4D0E1E" w14:textId="77777777" w:rsidR="00334A38" w:rsidRPr="00B340C5" w:rsidRDefault="00334A38" w:rsidP="00B340C5">
      <w:pPr>
        <w:spacing w:line="240" w:lineRule="auto"/>
        <w:contextualSpacing/>
        <w:jc w:val="both"/>
        <w:rPr>
          <w:rFonts w:cs="Times New Roman"/>
          <w:szCs w:val="24"/>
        </w:rPr>
      </w:pPr>
    </w:p>
    <w:p w14:paraId="24400B0E" w14:textId="79104E94" w:rsidR="005A0E21" w:rsidRPr="00B340C5" w:rsidRDefault="00CB3329" w:rsidP="00B340C5">
      <w:pPr>
        <w:pStyle w:val="Prrafodelista"/>
        <w:numPr>
          <w:ilvl w:val="0"/>
          <w:numId w:val="10"/>
        </w:numPr>
        <w:spacing w:line="240" w:lineRule="auto"/>
        <w:jc w:val="both"/>
        <w:rPr>
          <w:rFonts w:cs="Times New Roman"/>
          <w:szCs w:val="24"/>
        </w:rPr>
      </w:pPr>
      <w:r w:rsidRPr="00B340C5">
        <w:rPr>
          <w:rFonts w:cs="Times New Roman"/>
          <w:szCs w:val="24"/>
        </w:rPr>
        <w:t>Estados financieros mensuales, los primeros tres días hábiles posteriores a su elaboración</w:t>
      </w:r>
      <w:r w:rsidR="005A0E21" w:rsidRPr="00B340C5">
        <w:rPr>
          <w:rFonts w:cs="Times New Roman"/>
          <w:szCs w:val="24"/>
        </w:rPr>
        <w:t>.</w:t>
      </w:r>
    </w:p>
    <w:p w14:paraId="2A4615CA" w14:textId="77777777" w:rsidR="00B340C5" w:rsidRPr="00B340C5" w:rsidRDefault="00B340C5" w:rsidP="00B340C5">
      <w:pPr>
        <w:spacing w:line="240" w:lineRule="auto"/>
        <w:contextualSpacing/>
        <w:jc w:val="both"/>
        <w:rPr>
          <w:rFonts w:cs="Times New Roman"/>
          <w:szCs w:val="24"/>
        </w:rPr>
      </w:pPr>
    </w:p>
    <w:tbl>
      <w:tblPr>
        <w:tblStyle w:val="Tablaconcuadrcula"/>
        <w:tblW w:w="5000" w:type="pct"/>
        <w:tblLayout w:type="fixed"/>
        <w:tblLook w:val="04A0" w:firstRow="1" w:lastRow="0" w:firstColumn="1" w:lastColumn="0" w:noHBand="0" w:noVBand="1"/>
      </w:tblPr>
      <w:tblGrid>
        <w:gridCol w:w="9394"/>
      </w:tblGrid>
      <w:tr w:rsidR="0035179E" w:rsidRPr="00B340C5" w14:paraId="4F88EAEE" w14:textId="77777777" w:rsidTr="00D92866">
        <w:tc>
          <w:tcPr>
            <w:tcW w:w="5000" w:type="pct"/>
            <w:shd w:val="clear" w:color="auto" w:fill="D9D9D9" w:themeFill="background1" w:themeFillShade="D9"/>
          </w:tcPr>
          <w:p w14:paraId="49EACB5F" w14:textId="77777777" w:rsidR="0035179E" w:rsidRPr="00B340C5" w:rsidRDefault="0035179E" w:rsidP="00B340C5">
            <w:pPr>
              <w:spacing w:line="240" w:lineRule="auto"/>
              <w:contextualSpacing/>
              <w:jc w:val="center"/>
              <w:rPr>
                <w:rFonts w:eastAsia="Calibri" w:cs="Times New Roman"/>
                <w:b/>
                <w:bCs/>
                <w:szCs w:val="24"/>
              </w:rPr>
            </w:pPr>
            <w:r w:rsidRPr="00B340C5">
              <w:rPr>
                <w:rFonts w:eastAsia="Calibri" w:cs="Times New Roman"/>
                <w:b/>
                <w:bCs/>
                <w:szCs w:val="24"/>
              </w:rPr>
              <w:t>ANEXO 1)</w:t>
            </w:r>
          </w:p>
        </w:tc>
      </w:tr>
      <w:tr w:rsidR="0035179E" w:rsidRPr="00B340C5" w14:paraId="483741B8" w14:textId="77777777" w:rsidTr="00D92866">
        <w:tc>
          <w:tcPr>
            <w:tcW w:w="5000" w:type="pct"/>
          </w:tcPr>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5"/>
              <w:gridCol w:w="1974"/>
              <w:gridCol w:w="1919"/>
              <w:gridCol w:w="3568"/>
            </w:tblGrid>
            <w:tr w:rsidR="0035179E" w:rsidRPr="00B340C5" w14:paraId="5A13FD72" w14:textId="77777777" w:rsidTr="00C56A73">
              <w:trPr>
                <w:trHeight w:val="300"/>
                <w:jc w:val="center"/>
              </w:trPr>
              <w:tc>
                <w:tcPr>
                  <w:tcW w:w="3869" w:type="dxa"/>
                  <w:gridSpan w:val="2"/>
                  <w:vMerge w:val="restart"/>
                  <w:shd w:val="clear" w:color="auto" w:fill="F2F2F2" w:themeFill="background1" w:themeFillShade="F2"/>
                </w:tcPr>
                <w:p w14:paraId="4D24A30C" w14:textId="55BD40F0" w:rsidR="0035179E" w:rsidRPr="00B340C5" w:rsidRDefault="0035179E" w:rsidP="00B340C5">
                  <w:pPr>
                    <w:spacing w:line="240" w:lineRule="auto"/>
                    <w:contextualSpacing/>
                    <w:rPr>
                      <w:rFonts w:eastAsia="Times New Roman" w:cs="Times New Roman"/>
                      <w:b/>
                      <w:bCs/>
                      <w:color w:val="000000"/>
                      <w:szCs w:val="24"/>
                      <w:lang w:eastAsia="es-CR"/>
                    </w:rPr>
                  </w:pPr>
                  <w:r w:rsidRPr="00B340C5">
                    <w:rPr>
                      <w:rFonts w:eastAsia="Times New Roman" w:cs="Times New Roman"/>
                      <w:color w:val="000000"/>
                      <w:szCs w:val="24"/>
                      <w:lang w:eastAsia="es-CR"/>
                    </w:rPr>
                    <w:t> </w:t>
                  </w:r>
                </w:p>
              </w:tc>
              <w:tc>
                <w:tcPr>
                  <w:tcW w:w="5487" w:type="dxa"/>
                  <w:gridSpan w:val="2"/>
                  <w:shd w:val="clear" w:color="auto" w:fill="F2F2F2" w:themeFill="background1" w:themeFillShade="F2"/>
                  <w:noWrap/>
                  <w:vAlign w:val="bottom"/>
                  <w:hideMark/>
                </w:tcPr>
                <w:p w14:paraId="118FF0C2" w14:textId="77777777" w:rsidR="0035179E" w:rsidRPr="00B340C5" w:rsidRDefault="0035179E" w:rsidP="00B340C5">
                  <w:pPr>
                    <w:spacing w:line="240" w:lineRule="auto"/>
                    <w:contextualSpacing/>
                    <w:rPr>
                      <w:rFonts w:eastAsia="Times New Roman" w:cs="Times New Roman"/>
                      <w:b/>
                      <w:bCs/>
                      <w:color w:val="000000"/>
                      <w:szCs w:val="24"/>
                      <w:lang w:eastAsia="es-CR"/>
                    </w:rPr>
                  </w:pPr>
                  <w:r w:rsidRPr="00B340C5">
                    <w:rPr>
                      <w:rFonts w:eastAsia="Times New Roman" w:cs="Times New Roman"/>
                      <w:b/>
                      <w:bCs/>
                      <w:color w:val="000000"/>
                      <w:szCs w:val="24"/>
                      <w:lang w:eastAsia="es-CR"/>
                    </w:rPr>
                    <w:t>Nombre de la Operadora de Pensiones Complementarias</w:t>
                  </w:r>
                </w:p>
              </w:tc>
            </w:tr>
            <w:tr w:rsidR="0035179E" w:rsidRPr="00B340C5" w14:paraId="61E967CC" w14:textId="77777777" w:rsidTr="00C56A73">
              <w:trPr>
                <w:trHeight w:val="300"/>
                <w:jc w:val="center"/>
              </w:trPr>
              <w:tc>
                <w:tcPr>
                  <w:tcW w:w="3869" w:type="dxa"/>
                  <w:gridSpan w:val="2"/>
                  <w:vMerge/>
                  <w:shd w:val="clear" w:color="auto" w:fill="F2F2F2"/>
                </w:tcPr>
                <w:p w14:paraId="24A32A85" w14:textId="349D9667" w:rsidR="0035179E" w:rsidRPr="00B340C5" w:rsidRDefault="0035179E" w:rsidP="00B340C5">
                  <w:pPr>
                    <w:spacing w:line="240" w:lineRule="auto"/>
                    <w:contextualSpacing/>
                    <w:rPr>
                      <w:rFonts w:eastAsia="Times New Roman" w:cs="Times New Roman"/>
                      <w:b/>
                      <w:bCs/>
                      <w:color w:val="000000"/>
                      <w:szCs w:val="24"/>
                      <w:lang w:eastAsia="es-CR"/>
                    </w:rPr>
                  </w:pPr>
                </w:p>
              </w:tc>
              <w:tc>
                <w:tcPr>
                  <w:tcW w:w="5487" w:type="dxa"/>
                  <w:gridSpan w:val="2"/>
                  <w:shd w:val="clear" w:color="auto" w:fill="F2F2F2"/>
                  <w:noWrap/>
                  <w:vAlign w:val="bottom"/>
                  <w:hideMark/>
                </w:tcPr>
                <w:p w14:paraId="22A2FDA5" w14:textId="77777777" w:rsidR="0035179E" w:rsidRPr="00B340C5" w:rsidRDefault="0035179E" w:rsidP="00B340C5">
                  <w:pPr>
                    <w:spacing w:line="240" w:lineRule="auto"/>
                    <w:contextualSpacing/>
                    <w:rPr>
                      <w:rFonts w:eastAsia="Times New Roman" w:cs="Times New Roman"/>
                      <w:szCs w:val="24"/>
                      <w:lang w:eastAsia="es-CR"/>
                    </w:rPr>
                  </w:pPr>
                  <w:r w:rsidRPr="00B340C5">
                    <w:rPr>
                      <w:rFonts w:eastAsia="Times New Roman" w:cs="Times New Roman"/>
                      <w:b/>
                      <w:bCs/>
                      <w:color w:val="000000"/>
                      <w:szCs w:val="24"/>
                      <w:lang w:eastAsia="es-CR"/>
                    </w:rPr>
                    <w:t>Fecha del traslado:</w:t>
                  </w:r>
                </w:p>
              </w:tc>
            </w:tr>
            <w:tr w:rsidR="0035179E" w:rsidRPr="00B340C5" w14:paraId="7E3C16A8" w14:textId="77777777" w:rsidTr="00C56A73">
              <w:trPr>
                <w:trHeight w:val="300"/>
                <w:jc w:val="center"/>
              </w:trPr>
              <w:tc>
                <w:tcPr>
                  <w:tcW w:w="3869" w:type="dxa"/>
                  <w:gridSpan w:val="2"/>
                  <w:vMerge/>
                  <w:shd w:val="clear" w:color="auto" w:fill="auto"/>
                  <w:noWrap/>
                  <w:vAlign w:val="bottom"/>
                  <w:hideMark/>
                </w:tcPr>
                <w:p w14:paraId="7B7B5C84" w14:textId="0BCF31BD" w:rsidR="0035179E" w:rsidRPr="00B340C5" w:rsidRDefault="0035179E" w:rsidP="00B340C5">
                  <w:pPr>
                    <w:spacing w:line="240" w:lineRule="auto"/>
                    <w:contextualSpacing/>
                    <w:rPr>
                      <w:rFonts w:eastAsia="Times New Roman" w:cs="Times New Roman"/>
                      <w:b/>
                      <w:bCs/>
                      <w:color w:val="000000"/>
                      <w:szCs w:val="24"/>
                      <w:lang w:eastAsia="es-CR"/>
                    </w:rPr>
                  </w:pPr>
                </w:p>
              </w:tc>
              <w:tc>
                <w:tcPr>
                  <w:tcW w:w="5487" w:type="dxa"/>
                  <w:gridSpan w:val="2"/>
                  <w:shd w:val="clear" w:color="auto" w:fill="F2F2F2"/>
                </w:tcPr>
                <w:p w14:paraId="469932BB" w14:textId="77777777" w:rsidR="0035179E" w:rsidRPr="00B340C5" w:rsidRDefault="0035179E" w:rsidP="00B340C5">
                  <w:pPr>
                    <w:spacing w:line="240" w:lineRule="auto"/>
                    <w:contextualSpacing/>
                    <w:rPr>
                      <w:rFonts w:eastAsia="Times New Roman" w:cs="Times New Roman"/>
                      <w:b/>
                      <w:bCs/>
                      <w:color w:val="000000"/>
                      <w:szCs w:val="24"/>
                      <w:lang w:eastAsia="es-CR"/>
                    </w:rPr>
                  </w:pPr>
                  <w:r w:rsidRPr="00B340C5">
                    <w:rPr>
                      <w:rFonts w:eastAsia="Times New Roman" w:cs="Times New Roman"/>
                      <w:b/>
                      <w:bCs/>
                      <w:color w:val="000000"/>
                      <w:szCs w:val="24"/>
                      <w:lang w:eastAsia="es-CR"/>
                    </w:rPr>
                    <w:t>Detalle del traslado</w:t>
                  </w:r>
                </w:p>
              </w:tc>
            </w:tr>
            <w:tr w:rsidR="0035179E" w:rsidRPr="00B340C5" w14:paraId="67FFFD9F" w14:textId="77777777" w:rsidTr="00C56A73">
              <w:trPr>
                <w:trHeight w:val="845"/>
                <w:jc w:val="center"/>
              </w:trPr>
              <w:tc>
                <w:tcPr>
                  <w:tcW w:w="1895" w:type="dxa"/>
                  <w:shd w:val="clear" w:color="auto" w:fill="D9D9D9" w:themeFill="background1" w:themeFillShade="D9"/>
                  <w:noWrap/>
                  <w:vAlign w:val="center"/>
                  <w:hideMark/>
                </w:tcPr>
                <w:p w14:paraId="623E2C5B" w14:textId="77777777" w:rsidR="0035179E" w:rsidRPr="00B340C5" w:rsidRDefault="0035179E" w:rsidP="00B340C5">
                  <w:pPr>
                    <w:spacing w:line="240" w:lineRule="auto"/>
                    <w:contextualSpacing/>
                    <w:jc w:val="center"/>
                    <w:rPr>
                      <w:rFonts w:eastAsia="Times New Roman" w:cs="Times New Roman"/>
                      <w:b/>
                      <w:bCs/>
                      <w:color w:val="000000"/>
                      <w:szCs w:val="24"/>
                      <w:lang w:eastAsia="es-CR"/>
                    </w:rPr>
                  </w:pPr>
                  <w:r w:rsidRPr="00B340C5">
                    <w:rPr>
                      <w:rFonts w:eastAsia="Times New Roman" w:cs="Times New Roman"/>
                      <w:b/>
                      <w:bCs/>
                      <w:color w:val="000000"/>
                      <w:szCs w:val="24"/>
                      <w:lang w:eastAsia="es-CR"/>
                    </w:rPr>
                    <w:t>Nombre del fondo</w:t>
                  </w:r>
                </w:p>
              </w:tc>
              <w:tc>
                <w:tcPr>
                  <w:tcW w:w="1974" w:type="dxa"/>
                  <w:shd w:val="clear" w:color="auto" w:fill="D9D9D9" w:themeFill="background1" w:themeFillShade="D9"/>
                  <w:noWrap/>
                  <w:vAlign w:val="center"/>
                  <w:hideMark/>
                </w:tcPr>
                <w:p w14:paraId="06388CAF" w14:textId="77777777" w:rsidR="0035179E" w:rsidRPr="00B340C5" w:rsidRDefault="0035179E" w:rsidP="00B340C5">
                  <w:pPr>
                    <w:spacing w:line="240" w:lineRule="auto"/>
                    <w:contextualSpacing/>
                    <w:jc w:val="center"/>
                    <w:rPr>
                      <w:rFonts w:eastAsia="Times New Roman" w:cs="Times New Roman"/>
                      <w:b/>
                      <w:bCs/>
                      <w:color w:val="000000"/>
                      <w:szCs w:val="24"/>
                      <w:lang w:eastAsia="es-CR"/>
                    </w:rPr>
                  </w:pPr>
                  <w:r w:rsidRPr="00B340C5">
                    <w:rPr>
                      <w:rFonts w:eastAsia="Times New Roman" w:cs="Times New Roman"/>
                      <w:b/>
                      <w:bCs/>
                      <w:color w:val="000000"/>
                      <w:szCs w:val="24"/>
                      <w:lang w:eastAsia="es-CR"/>
                    </w:rPr>
                    <w:t>Cantidad de registros</w:t>
                  </w:r>
                </w:p>
              </w:tc>
              <w:tc>
                <w:tcPr>
                  <w:tcW w:w="1919" w:type="dxa"/>
                  <w:shd w:val="clear" w:color="auto" w:fill="D9D9D9" w:themeFill="background1" w:themeFillShade="D9"/>
                  <w:vAlign w:val="center"/>
                </w:tcPr>
                <w:p w14:paraId="4279BF16" w14:textId="77777777" w:rsidR="0035179E" w:rsidRPr="00B340C5" w:rsidRDefault="0035179E" w:rsidP="00B340C5">
                  <w:pPr>
                    <w:spacing w:line="240" w:lineRule="auto"/>
                    <w:contextualSpacing/>
                    <w:jc w:val="center"/>
                    <w:rPr>
                      <w:rFonts w:eastAsia="Times New Roman" w:cs="Times New Roman"/>
                      <w:b/>
                      <w:bCs/>
                      <w:color w:val="000000"/>
                      <w:szCs w:val="24"/>
                      <w:lang w:eastAsia="es-CR"/>
                    </w:rPr>
                  </w:pPr>
                  <w:r w:rsidRPr="00B340C5">
                    <w:rPr>
                      <w:rFonts w:eastAsia="Times New Roman" w:cs="Times New Roman"/>
                      <w:b/>
                      <w:bCs/>
                      <w:color w:val="000000"/>
                      <w:szCs w:val="24"/>
                      <w:lang w:eastAsia="es-CR"/>
                    </w:rPr>
                    <w:t>Tipo de registro (erróneo o aporte por asignar)</w:t>
                  </w:r>
                </w:p>
              </w:tc>
              <w:tc>
                <w:tcPr>
                  <w:tcW w:w="3568" w:type="dxa"/>
                  <w:shd w:val="clear" w:color="auto" w:fill="D9D9D9" w:themeFill="background1" w:themeFillShade="D9"/>
                  <w:noWrap/>
                  <w:vAlign w:val="center"/>
                  <w:hideMark/>
                </w:tcPr>
                <w:p w14:paraId="53A47A98" w14:textId="70BEC2B4" w:rsidR="0035179E" w:rsidRPr="00B340C5" w:rsidRDefault="0035179E" w:rsidP="00B340C5">
                  <w:pPr>
                    <w:spacing w:line="240" w:lineRule="auto"/>
                    <w:contextualSpacing/>
                    <w:jc w:val="center"/>
                    <w:rPr>
                      <w:rFonts w:eastAsia="Times New Roman" w:cs="Times New Roman"/>
                      <w:b/>
                      <w:bCs/>
                      <w:color w:val="000000"/>
                      <w:szCs w:val="24"/>
                      <w:lang w:eastAsia="es-CR"/>
                    </w:rPr>
                  </w:pPr>
                  <w:r w:rsidRPr="00B340C5">
                    <w:rPr>
                      <w:rFonts w:eastAsia="Times New Roman" w:cs="Times New Roman"/>
                      <w:b/>
                      <w:bCs/>
                      <w:color w:val="000000"/>
                      <w:szCs w:val="24"/>
                      <w:lang w:eastAsia="es-CR"/>
                    </w:rPr>
                    <w:t>Monto</w:t>
                  </w:r>
                </w:p>
              </w:tc>
            </w:tr>
            <w:tr w:rsidR="0035179E" w:rsidRPr="00B340C5" w14:paraId="7F53D7B2" w14:textId="77777777" w:rsidTr="00C56A73">
              <w:trPr>
                <w:trHeight w:val="300"/>
                <w:jc w:val="center"/>
              </w:trPr>
              <w:tc>
                <w:tcPr>
                  <w:tcW w:w="1895" w:type="dxa"/>
                  <w:shd w:val="clear" w:color="auto" w:fill="auto"/>
                  <w:noWrap/>
                  <w:vAlign w:val="bottom"/>
                  <w:hideMark/>
                </w:tcPr>
                <w:p w14:paraId="62B1A5E2"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5435C93C"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2E75DF7C"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7B0B65F8"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23726681" w14:textId="77777777" w:rsidTr="00C56A73">
              <w:trPr>
                <w:trHeight w:val="300"/>
                <w:jc w:val="center"/>
              </w:trPr>
              <w:tc>
                <w:tcPr>
                  <w:tcW w:w="1895" w:type="dxa"/>
                  <w:shd w:val="clear" w:color="auto" w:fill="auto"/>
                  <w:noWrap/>
                  <w:vAlign w:val="bottom"/>
                  <w:hideMark/>
                </w:tcPr>
                <w:p w14:paraId="4E86CA90"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2415DCBE"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75C2241C"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33F04421"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51960FEF" w14:textId="77777777" w:rsidTr="00C56A73">
              <w:trPr>
                <w:trHeight w:val="300"/>
                <w:jc w:val="center"/>
              </w:trPr>
              <w:tc>
                <w:tcPr>
                  <w:tcW w:w="1895" w:type="dxa"/>
                  <w:shd w:val="clear" w:color="auto" w:fill="auto"/>
                  <w:noWrap/>
                  <w:vAlign w:val="bottom"/>
                  <w:hideMark/>
                </w:tcPr>
                <w:p w14:paraId="76D32566"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1D4E9F49"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6C417647"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26637BEE"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21E0A374" w14:textId="77777777" w:rsidTr="00C56A73">
              <w:trPr>
                <w:trHeight w:val="300"/>
                <w:jc w:val="center"/>
              </w:trPr>
              <w:tc>
                <w:tcPr>
                  <w:tcW w:w="1895" w:type="dxa"/>
                  <w:shd w:val="clear" w:color="auto" w:fill="auto"/>
                  <w:noWrap/>
                  <w:vAlign w:val="bottom"/>
                  <w:hideMark/>
                </w:tcPr>
                <w:p w14:paraId="04EE1FB1"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3E4270F0"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15F38467"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3A2B1565"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1FFF3165" w14:textId="77777777" w:rsidTr="00C56A73">
              <w:trPr>
                <w:trHeight w:val="300"/>
                <w:jc w:val="center"/>
              </w:trPr>
              <w:tc>
                <w:tcPr>
                  <w:tcW w:w="1895" w:type="dxa"/>
                  <w:shd w:val="clear" w:color="auto" w:fill="auto"/>
                  <w:noWrap/>
                  <w:vAlign w:val="bottom"/>
                  <w:hideMark/>
                </w:tcPr>
                <w:p w14:paraId="41EB51DD"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7BB05204"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36474F47"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68B918F4"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4BF93742" w14:textId="77777777" w:rsidTr="00C56A73">
              <w:trPr>
                <w:trHeight w:val="300"/>
                <w:jc w:val="center"/>
              </w:trPr>
              <w:tc>
                <w:tcPr>
                  <w:tcW w:w="1895" w:type="dxa"/>
                  <w:shd w:val="clear" w:color="auto" w:fill="auto"/>
                  <w:noWrap/>
                  <w:vAlign w:val="bottom"/>
                  <w:hideMark/>
                </w:tcPr>
                <w:p w14:paraId="1C16A09F"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2B1CBEB1"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08CC585B"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22665C8C"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08FB2041" w14:textId="77777777" w:rsidTr="00C56A73">
              <w:trPr>
                <w:trHeight w:val="300"/>
                <w:jc w:val="center"/>
              </w:trPr>
              <w:tc>
                <w:tcPr>
                  <w:tcW w:w="1895" w:type="dxa"/>
                  <w:shd w:val="clear" w:color="auto" w:fill="auto"/>
                  <w:noWrap/>
                  <w:vAlign w:val="bottom"/>
                  <w:hideMark/>
                </w:tcPr>
                <w:p w14:paraId="32C9B4FF"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7F316231"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2490DD8D"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6490257D"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28746ECB" w14:textId="77777777" w:rsidTr="00C56A73">
              <w:trPr>
                <w:trHeight w:val="300"/>
                <w:jc w:val="center"/>
              </w:trPr>
              <w:tc>
                <w:tcPr>
                  <w:tcW w:w="1895" w:type="dxa"/>
                  <w:shd w:val="clear" w:color="auto" w:fill="auto"/>
                  <w:noWrap/>
                  <w:vAlign w:val="bottom"/>
                  <w:hideMark/>
                </w:tcPr>
                <w:p w14:paraId="25110A0C"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19BB3D30"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3F271136"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58CC15FD"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6B214037" w14:textId="77777777" w:rsidTr="00C56A73">
              <w:trPr>
                <w:trHeight w:val="300"/>
                <w:jc w:val="center"/>
              </w:trPr>
              <w:tc>
                <w:tcPr>
                  <w:tcW w:w="1895" w:type="dxa"/>
                  <w:shd w:val="clear" w:color="auto" w:fill="auto"/>
                  <w:noWrap/>
                  <w:vAlign w:val="bottom"/>
                  <w:hideMark/>
                </w:tcPr>
                <w:p w14:paraId="15CB1A18"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2BB4D4F9"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535B2E85"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6C148AE4"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78763A00" w14:textId="77777777" w:rsidTr="00C56A73">
              <w:trPr>
                <w:trHeight w:val="300"/>
                <w:jc w:val="center"/>
              </w:trPr>
              <w:tc>
                <w:tcPr>
                  <w:tcW w:w="1895" w:type="dxa"/>
                  <w:shd w:val="clear" w:color="auto" w:fill="auto"/>
                  <w:noWrap/>
                  <w:vAlign w:val="bottom"/>
                  <w:hideMark/>
                </w:tcPr>
                <w:p w14:paraId="75A973B1"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00C834EE"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1BA34A08"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625BD7E4"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7EEC2F1C" w14:textId="77777777" w:rsidTr="00C56A73">
              <w:trPr>
                <w:trHeight w:val="300"/>
                <w:jc w:val="center"/>
              </w:trPr>
              <w:tc>
                <w:tcPr>
                  <w:tcW w:w="1895" w:type="dxa"/>
                  <w:shd w:val="clear" w:color="auto" w:fill="auto"/>
                  <w:noWrap/>
                  <w:vAlign w:val="bottom"/>
                  <w:hideMark/>
                </w:tcPr>
                <w:p w14:paraId="6A9C175F"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01397DA5"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1595C629"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2DDFD49C"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42DFCB50" w14:textId="77777777" w:rsidTr="00C56A73">
              <w:trPr>
                <w:trHeight w:val="300"/>
                <w:jc w:val="center"/>
              </w:trPr>
              <w:tc>
                <w:tcPr>
                  <w:tcW w:w="1895" w:type="dxa"/>
                  <w:shd w:val="clear" w:color="auto" w:fill="auto"/>
                  <w:noWrap/>
                  <w:vAlign w:val="bottom"/>
                  <w:hideMark/>
                </w:tcPr>
                <w:p w14:paraId="45D843D7"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14AF5850"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25DBBA4C"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7986C927"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27BC5C3E" w14:textId="77777777" w:rsidTr="00C56A73">
              <w:trPr>
                <w:trHeight w:val="300"/>
                <w:jc w:val="center"/>
              </w:trPr>
              <w:tc>
                <w:tcPr>
                  <w:tcW w:w="1895" w:type="dxa"/>
                  <w:shd w:val="clear" w:color="auto" w:fill="auto"/>
                  <w:noWrap/>
                  <w:vAlign w:val="bottom"/>
                  <w:hideMark/>
                </w:tcPr>
                <w:p w14:paraId="1E879681"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52A58F8E"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3481195F"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57B722BC"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0586F985" w14:textId="77777777" w:rsidTr="00C56A73">
              <w:trPr>
                <w:trHeight w:val="300"/>
                <w:jc w:val="center"/>
              </w:trPr>
              <w:tc>
                <w:tcPr>
                  <w:tcW w:w="1895" w:type="dxa"/>
                  <w:shd w:val="clear" w:color="auto" w:fill="auto"/>
                  <w:noWrap/>
                  <w:vAlign w:val="bottom"/>
                  <w:hideMark/>
                </w:tcPr>
                <w:p w14:paraId="002B771E"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1E855D0B"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7D4F29BD"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61012F78"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35179E" w:rsidRPr="00B340C5" w14:paraId="33783E70" w14:textId="77777777" w:rsidTr="00C56A73">
              <w:trPr>
                <w:trHeight w:val="300"/>
                <w:jc w:val="center"/>
              </w:trPr>
              <w:tc>
                <w:tcPr>
                  <w:tcW w:w="1895" w:type="dxa"/>
                  <w:shd w:val="clear" w:color="auto" w:fill="D9D9D9" w:themeFill="background1" w:themeFillShade="D9"/>
                  <w:noWrap/>
                  <w:vAlign w:val="bottom"/>
                  <w:hideMark/>
                </w:tcPr>
                <w:p w14:paraId="261F1E83" w14:textId="77777777" w:rsidR="0035179E" w:rsidRPr="00B340C5" w:rsidRDefault="0035179E" w:rsidP="00B340C5">
                  <w:pPr>
                    <w:spacing w:line="240" w:lineRule="auto"/>
                    <w:contextualSpacing/>
                    <w:rPr>
                      <w:rFonts w:eastAsia="Times New Roman" w:cs="Times New Roman"/>
                      <w:b/>
                      <w:bCs/>
                      <w:color w:val="000000"/>
                      <w:szCs w:val="24"/>
                      <w:lang w:eastAsia="es-CR"/>
                    </w:rPr>
                  </w:pPr>
                  <w:r w:rsidRPr="00B340C5">
                    <w:rPr>
                      <w:rFonts w:eastAsia="Times New Roman" w:cs="Times New Roman"/>
                      <w:b/>
                      <w:bCs/>
                      <w:color w:val="000000"/>
                      <w:szCs w:val="24"/>
                      <w:lang w:eastAsia="es-CR"/>
                    </w:rPr>
                    <w:t>TOTAL</w:t>
                  </w:r>
                </w:p>
              </w:tc>
              <w:tc>
                <w:tcPr>
                  <w:tcW w:w="1974" w:type="dxa"/>
                  <w:shd w:val="clear" w:color="auto" w:fill="D9D9D9" w:themeFill="background1" w:themeFillShade="D9"/>
                  <w:noWrap/>
                  <w:vAlign w:val="bottom"/>
                  <w:hideMark/>
                </w:tcPr>
                <w:p w14:paraId="12E24E1A"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shd w:val="clear" w:color="auto" w:fill="D9D9D9" w:themeFill="background1" w:themeFillShade="D9"/>
                </w:tcPr>
                <w:p w14:paraId="0EDAEC01" w14:textId="77777777" w:rsidR="0035179E" w:rsidRPr="00B340C5" w:rsidRDefault="0035179E" w:rsidP="00B340C5">
                  <w:pPr>
                    <w:spacing w:line="240" w:lineRule="auto"/>
                    <w:contextualSpacing/>
                    <w:rPr>
                      <w:rFonts w:eastAsia="Times New Roman" w:cs="Times New Roman"/>
                      <w:color w:val="000000"/>
                      <w:szCs w:val="24"/>
                      <w:lang w:eastAsia="es-CR"/>
                    </w:rPr>
                  </w:pPr>
                </w:p>
              </w:tc>
              <w:tc>
                <w:tcPr>
                  <w:tcW w:w="3568" w:type="dxa"/>
                  <w:shd w:val="clear" w:color="auto" w:fill="D9D9D9" w:themeFill="background1" w:themeFillShade="D9"/>
                  <w:noWrap/>
                  <w:vAlign w:val="bottom"/>
                  <w:hideMark/>
                </w:tcPr>
                <w:p w14:paraId="7F9C8A72" w14:textId="77777777" w:rsidR="0035179E" w:rsidRPr="00B340C5" w:rsidRDefault="0035179E" w:rsidP="00B340C5">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bl>
          <w:p w14:paraId="27000E74" w14:textId="77777777" w:rsidR="0035179E" w:rsidRPr="00B340C5" w:rsidRDefault="0035179E" w:rsidP="00B340C5">
            <w:pPr>
              <w:spacing w:line="240" w:lineRule="auto"/>
              <w:contextualSpacing/>
              <w:rPr>
                <w:rFonts w:eastAsia="Times New Roman" w:cs="Times New Roman"/>
                <w:b/>
                <w:bCs/>
                <w:color w:val="000000"/>
                <w:szCs w:val="24"/>
                <w:lang w:eastAsia="es-CR"/>
              </w:rPr>
            </w:pPr>
          </w:p>
        </w:tc>
      </w:tr>
    </w:tbl>
    <w:p w14:paraId="13D15A45" w14:textId="6F36ED62" w:rsidR="00C72AC5" w:rsidRPr="0009605D" w:rsidRDefault="0009605D" w:rsidP="006159D2">
      <w:pPr>
        <w:spacing w:line="240" w:lineRule="auto"/>
        <w:contextualSpacing/>
        <w:jc w:val="right"/>
        <w:rPr>
          <w:rFonts w:cs="Times New Roman"/>
          <w:i/>
          <w:iCs/>
          <w:szCs w:val="24"/>
        </w:rPr>
      </w:pPr>
      <w:r w:rsidRPr="0009605D">
        <w:rPr>
          <w:rFonts w:cs="Times New Roman"/>
          <w:i/>
          <w:iCs/>
          <w:szCs w:val="24"/>
        </w:rPr>
        <w:lastRenderedPageBreak/>
        <w:t>”</w:t>
      </w:r>
    </w:p>
    <w:p w14:paraId="6CB118B0" w14:textId="77777777" w:rsidR="006159D2" w:rsidRPr="00B340C5" w:rsidRDefault="006159D2" w:rsidP="00B340C5">
      <w:pPr>
        <w:spacing w:line="240" w:lineRule="auto"/>
        <w:contextualSpacing/>
        <w:jc w:val="both"/>
        <w:rPr>
          <w:rFonts w:cs="Times New Roman"/>
          <w:b/>
          <w:bCs/>
          <w:szCs w:val="24"/>
        </w:rPr>
      </w:pPr>
    </w:p>
    <w:p w14:paraId="31DA621D" w14:textId="335CF98B" w:rsidR="005A0E21" w:rsidRPr="00B340C5" w:rsidRDefault="005A0E21" w:rsidP="00B340C5">
      <w:pPr>
        <w:spacing w:line="240" w:lineRule="auto"/>
        <w:contextualSpacing/>
        <w:jc w:val="both"/>
        <w:rPr>
          <w:rFonts w:cs="Times New Roman"/>
          <w:szCs w:val="24"/>
        </w:rPr>
      </w:pPr>
      <w:r w:rsidRPr="00B340C5">
        <w:rPr>
          <w:rFonts w:cs="Times New Roman"/>
          <w:b/>
          <w:bCs/>
          <w:szCs w:val="24"/>
        </w:rPr>
        <w:t>SEGUNDO:</w:t>
      </w:r>
      <w:r w:rsidRPr="00B340C5">
        <w:rPr>
          <w:rFonts w:cs="Times New Roman"/>
          <w:szCs w:val="24"/>
        </w:rPr>
        <w:t xml:space="preserve"> Se modifican los artículos 1,</w:t>
      </w:r>
      <w:r w:rsidR="004136B9" w:rsidRPr="00B340C5">
        <w:rPr>
          <w:rFonts w:cs="Times New Roman"/>
          <w:szCs w:val="24"/>
        </w:rPr>
        <w:t xml:space="preserve"> </w:t>
      </w:r>
      <w:r w:rsidRPr="00B340C5">
        <w:rPr>
          <w:rFonts w:cs="Times New Roman"/>
          <w:szCs w:val="24"/>
        </w:rPr>
        <w:t>2,</w:t>
      </w:r>
      <w:r w:rsidR="004136B9" w:rsidRPr="00B340C5">
        <w:rPr>
          <w:rFonts w:cs="Times New Roman"/>
          <w:szCs w:val="24"/>
        </w:rPr>
        <w:t xml:space="preserve"> </w:t>
      </w:r>
      <w:r w:rsidR="00FB274E" w:rsidRPr="00B340C5">
        <w:rPr>
          <w:rFonts w:cs="Times New Roman"/>
          <w:szCs w:val="24"/>
        </w:rPr>
        <w:t xml:space="preserve">el inciso j) del </w:t>
      </w:r>
      <w:r w:rsidR="0017632B" w:rsidRPr="00B340C5">
        <w:rPr>
          <w:rFonts w:cs="Times New Roman"/>
          <w:szCs w:val="24"/>
        </w:rPr>
        <w:t xml:space="preserve">artículo </w:t>
      </w:r>
      <w:r w:rsidRPr="00B340C5">
        <w:rPr>
          <w:rFonts w:cs="Times New Roman"/>
          <w:szCs w:val="24"/>
        </w:rPr>
        <w:t>3,</w:t>
      </w:r>
      <w:r w:rsidR="004136B9" w:rsidRPr="00B340C5">
        <w:rPr>
          <w:rFonts w:cs="Times New Roman"/>
          <w:szCs w:val="24"/>
        </w:rPr>
        <w:t xml:space="preserve"> </w:t>
      </w:r>
      <w:r w:rsidR="0017632B" w:rsidRPr="00B340C5">
        <w:rPr>
          <w:rFonts w:cs="Times New Roman"/>
          <w:szCs w:val="24"/>
        </w:rPr>
        <w:t xml:space="preserve">y los artículos </w:t>
      </w:r>
      <w:r w:rsidRPr="00B340C5">
        <w:rPr>
          <w:rFonts w:cs="Times New Roman"/>
          <w:szCs w:val="24"/>
        </w:rPr>
        <w:t xml:space="preserve">6 y 12 del acuerdo </w:t>
      </w:r>
      <w:r w:rsidRPr="00B340C5">
        <w:rPr>
          <w:rFonts w:cs="Times New Roman"/>
          <w:i/>
          <w:iCs/>
          <w:szCs w:val="24"/>
        </w:rPr>
        <w:t>SP-A-225 de las trece horas del día siete de agosto de 2020</w:t>
      </w:r>
      <w:r w:rsidRPr="00B340C5">
        <w:rPr>
          <w:rFonts w:cs="Times New Roman"/>
          <w:szCs w:val="24"/>
        </w:rPr>
        <w:t xml:space="preserve">, </w:t>
      </w:r>
      <w:r w:rsidR="00DE18BD" w:rsidRPr="00B340C5">
        <w:rPr>
          <w:rFonts w:cs="Times New Roman"/>
          <w:szCs w:val="24"/>
        </w:rPr>
        <w:t>de la siguiente forma:</w:t>
      </w:r>
    </w:p>
    <w:p w14:paraId="3EFB942A" w14:textId="77777777" w:rsidR="008F093D" w:rsidRPr="00B340C5" w:rsidRDefault="008F093D" w:rsidP="00B340C5">
      <w:pPr>
        <w:spacing w:line="240" w:lineRule="auto"/>
        <w:contextualSpacing/>
        <w:jc w:val="both"/>
        <w:rPr>
          <w:rFonts w:cs="Times New Roman"/>
          <w:szCs w:val="24"/>
        </w:rPr>
      </w:pPr>
    </w:p>
    <w:p w14:paraId="21F2B273" w14:textId="28CA781F" w:rsidR="005A0E21" w:rsidRPr="00B340C5" w:rsidRDefault="005A0E21" w:rsidP="00B340C5">
      <w:pPr>
        <w:pStyle w:val="Prrafodelista"/>
        <w:numPr>
          <w:ilvl w:val="0"/>
          <w:numId w:val="11"/>
        </w:numPr>
        <w:spacing w:line="240" w:lineRule="auto"/>
        <w:jc w:val="both"/>
        <w:rPr>
          <w:rFonts w:cs="Times New Roman"/>
          <w:szCs w:val="24"/>
        </w:rPr>
      </w:pPr>
      <w:r w:rsidRPr="00B340C5">
        <w:rPr>
          <w:rFonts w:cs="Times New Roman"/>
          <w:szCs w:val="24"/>
        </w:rPr>
        <w:t xml:space="preserve">Se modifica el artículo 1, </w:t>
      </w:r>
      <w:r w:rsidRPr="00B340C5">
        <w:rPr>
          <w:rFonts w:cs="Times New Roman"/>
          <w:i/>
          <w:iCs/>
          <w:szCs w:val="24"/>
        </w:rPr>
        <w:t>Alcance</w:t>
      </w:r>
      <w:r w:rsidRPr="00B340C5">
        <w:rPr>
          <w:rFonts w:cs="Times New Roman"/>
          <w:szCs w:val="24"/>
        </w:rPr>
        <w:t>, para que, en lo sucesivo, se lea de la siguiente forma:</w:t>
      </w:r>
    </w:p>
    <w:p w14:paraId="7A6F1812" w14:textId="77777777" w:rsidR="008F093D" w:rsidRPr="00B340C5" w:rsidRDefault="008F093D" w:rsidP="00B340C5">
      <w:pPr>
        <w:pStyle w:val="Prrafodelista"/>
        <w:spacing w:line="240" w:lineRule="auto"/>
        <w:jc w:val="both"/>
        <w:rPr>
          <w:rFonts w:cs="Times New Roman"/>
          <w:szCs w:val="24"/>
        </w:rPr>
      </w:pPr>
    </w:p>
    <w:p w14:paraId="76B4BD4A" w14:textId="77777777" w:rsidR="005A0E21" w:rsidRPr="00CF6078" w:rsidRDefault="005A0E21" w:rsidP="00B340C5">
      <w:pPr>
        <w:spacing w:line="240" w:lineRule="auto"/>
        <w:ind w:firstLine="708"/>
        <w:contextualSpacing/>
        <w:jc w:val="both"/>
        <w:rPr>
          <w:rFonts w:cs="Times New Roman"/>
          <w:szCs w:val="24"/>
        </w:rPr>
      </w:pPr>
      <w:r w:rsidRPr="00CF6078">
        <w:rPr>
          <w:rFonts w:cs="Times New Roman"/>
          <w:szCs w:val="24"/>
        </w:rPr>
        <w:t>“</w:t>
      </w:r>
      <w:r w:rsidRPr="00CF6078">
        <w:rPr>
          <w:rFonts w:cs="Times New Roman"/>
          <w:b/>
          <w:bCs/>
          <w:szCs w:val="24"/>
        </w:rPr>
        <w:t>Artículo 1. Alcance</w:t>
      </w:r>
    </w:p>
    <w:p w14:paraId="0ECEC615" w14:textId="3A8D0CC8" w:rsidR="005A0E21" w:rsidRPr="00CF6078" w:rsidRDefault="00B22487" w:rsidP="00B340C5">
      <w:pPr>
        <w:spacing w:line="240" w:lineRule="auto"/>
        <w:ind w:left="708"/>
        <w:contextualSpacing/>
        <w:jc w:val="both"/>
        <w:rPr>
          <w:rFonts w:cs="Times New Roman"/>
          <w:szCs w:val="24"/>
        </w:rPr>
      </w:pPr>
      <w:r w:rsidRPr="00CF6078">
        <w:rPr>
          <w:rFonts w:cs="Times New Roman"/>
          <w:szCs w:val="24"/>
        </w:rPr>
        <w:t>Este acuerdo establece los principios y reglas que deben seguirse para la corrección de los errores en que se incurra con motivo de la gestión de los recursos de las cuentas individuales de los afiliados a las entidades autorizadas a que se refiere el artículo 2 de la Ley de Protección al Trabajador, No.7983, y a registros erróneos cuanto así se señale</w:t>
      </w:r>
      <w:r w:rsidR="009B6F52" w:rsidRPr="00CF6078">
        <w:rPr>
          <w:rFonts w:cs="Times New Roman"/>
          <w:szCs w:val="24"/>
        </w:rPr>
        <w:t>.</w:t>
      </w:r>
      <w:r w:rsidR="005A0E21" w:rsidRPr="00CF6078">
        <w:rPr>
          <w:rFonts w:cs="Times New Roman"/>
          <w:szCs w:val="24"/>
        </w:rPr>
        <w:t>”</w:t>
      </w:r>
    </w:p>
    <w:p w14:paraId="35CEE730" w14:textId="77777777" w:rsidR="008F093D" w:rsidRPr="00B340C5" w:rsidRDefault="008F093D" w:rsidP="00B340C5">
      <w:pPr>
        <w:spacing w:line="240" w:lineRule="auto"/>
        <w:contextualSpacing/>
        <w:jc w:val="both"/>
        <w:rPr>
          <w:rFonts w:cs="Times New Roman"/>
          <w:szCs w:val="24"/>
        </w:rPr>
      </w:pPr>
    </w:p>
    <w:p w14:paraId="2D91D365" w14:textId="3FEF5744" w:rsidR="005A0E21" w:rsidRPr="00B340C5" w:rsidRDefault="005A0E21" w:rsidP="00B340C5">
      <w:pPr>
        <w:pStyle w:val="Prrafodelista"/>
        <w:numPr>
          <w:ilvl w:val="0"/>
          <w:numId w:val="11"/>
        </w:numPr>
        <w:spacing w:line="240" w:lineRule="auto"/>
        <w:jc w:val="both"/>
        <w:rPr>
          <w:rFonts w:cs="Times New Roman"/>
          <w:szCs w:val="24"/>
        </w:rPr>
      </w:pPr>
      <w:r w:rsidRPr="00B340C5">
        <w:rPr>
          <w:rFonts w:cs="Times New Roman"/>
          <w:szCs w:val="24"/>
        </w:rPr>
        <w:t xml:space="preserve">En el artículo 2, </w:t>
      </w:r>
      <w:r w:rsidRPr="00B340C5">
        <w:rPr>
          <w:rFonts w:cs="Times New Roman"/>
          <w:i/>
          <w:iCs/>
          <w:szCs w:val="24"/>
        </w:rPr>
        <w:t>Definiciones</w:t>
      </w:r>
      <w:r w:rsidRPr="00B340C5">
        <w:rPr>
          <w:rFonts w:cs="Times New Roman"/>
          <w:szCs w:val="24"/>
        </w:rPr>
        <w:t xml:space="preserve">, se </w:t>
      </w:r>
      <w:r w:rsidR="00F65385" w:rsidRPr="00B340C5">
        <w:rPr>
          <w:rFonts w:cs="Times New Roman"/>
          <w:szCs w:val="24"/>
        </w:rPr>
        <w:t>ordenan alfabé</w:t>
      </w:r>
      <w:r w:rsidR="00802F04" w:rsidRPr="00B340C5">
        <w:rPr>
          <w:rFonts w:cs="Times New Roman"/>
          <w:szCs w:val="24"/>
        </w:rPr>
        <w:t>t</w:t>
      </w:r>
      <w:r w:rsidR="00F65385" w:rsidRPr="00B340C5">
        <w:rPr>
          <w:rFonts w:cs="Times New Roman"/>
          <w:szCs w:val="24"/>
        </w:rPr>
        <w:t>icamente las definiciones</w:t>
      </w:r>
      <w:r w:rsidR="00183511" w:rsidRPr="00B340C5">
        <w:rPr>
          <w:rFonts w:cs="Times New Roman"/>
          <w:szCs w:val="24"/>
        </w:rPr>
        <w:t xml:space="preserve">; </w:t>
      </w:r>
      <w:r w:rsidR="00802F04" w:rsidRPr="00B340C5">
        <w:rPr>
          <w:rFonts w:cs="Times New Roman"/>
          <w:szCs w:val="24"/>
        </w:rPr>
        <w:t xml:space="preserve">se </w:t>
      </w:r>
      <w:r w:rsidRPr="00B340C5">
        <w:rPr>
          <w:rFonts w:cs="Times New Roman"/>
          <w:szCs w:val="24"/>
        </w:rPr>
        <w:t>a</w:t>
      </w:r>
      <w:r w:rsidR="008F7F49" w:rsidRPr="00B340C5">
        <w:rPr>
          <w:rFonts w:cs="Times New Roman"/>
          <w:szCs w:val="24"/>
        </w:rPr>
        <w:t>dicionan</w:t>
      </w:r>
      <w:r w:rsidR="00CE65AF" w:rsidRPr="00B340C5">
        <w:rPr>
          <w:rFonts w:cs="Times New Roman"/>
          <w:szCs w:val="24"/>
        </w:rPr>
        <w:t xml:space="preserve"> las correspondientes a </w:t>
      </w:r>
      <w:r w:rsidR="00CE65AF" w:rsidRPr="00B340C5">
        <w:rPr>
          <w:rFonts w:cs="Times New Roman"/>
          <w:i/>
          <w:iCs/>
          <w:szCs w:val="24"/>
        </w:rPr>
        <w:t>Registro erróneo</w:t>
      </w:r>
      <w:r w:rsidR="00CD62E3" w:rsidRPr="00B340C5">
        <w:rPr>
          <w:rFonts w:cs="Times New Roman"/>
          <w:i/>
          <w:iCs/>
          <w:szCs w:val="24"/>
        </w:rPr>
        <w:t xml:space="preserve"> </w:t>
      </w:r>
      <w:r w:rsidR="00CD62E3" w:rsidRPr="00B340C5">
        <w:rPr>
          <w:rFonts w:cs="Times New Roman"/>
          <w:szCs w:val="24"/>
        </w:rPr>
        <w:t>y</w:t>
      </w:r>
      <w:r w:rsidR="00CE65AF" w:rsidRPr="00B340C5">
        <w:rPr>
          <w:rFonts w:cs="Times New Roman"/>
          <w:i/>
          <w:iCs/>
          <w:szCs w:val="24"/>
        </w:rPr>
        <w:t xml:space="preserve"> Cuenta de registros erróneos</w:t>
      </w:r>
      <w:r w:rsidR="008F7F49" w:rsidRPr="00B340C5">
        <w:rPr>
          <w:rFonts w:cs="Times New Roman"/>
          <w:szCs w:val="24"/>
        </w:rPr>
        <w:t xml:space="preserve">, </w:t>
      </w:r>
      <w:r w:rsidR="00183511" w:rsidRPr="00B340C5">
        <w:rPr>
          <w:rFonts w:cs="Times New Roman"/>
          <w:szCs w:val="24"/>
        </w:rPr>
        <w:t xml:space="preserve">y se reforma la definición de </w:t>
      </w:r>
      <w:r w:rsidR="00183511" w:rsidRPr="00B340C5">
        <w:rPr>
          <w:rFonts w:cs="Times New Roman"/>
          <w:i/>
          <w:iCs/>
          <w:szCs w:val="24"/>
        </w:rPr>
        <w:t>Auxiliar de errores en la gestión de la cuenta individua</w:t>
      </w:r>
      <w:r w:rsidR="0042406F" w:rsidRPr="00B340C5">
        <w:rPr>
          <w:rFonts w:cs="Times New Roman"/>
          <w:szCs w:val="24"/>
        </w:rPr>
        <w:t xml:space="preserve">l, </w:t>
      </w:r>
      <w:r w:rsidR="008F7F49" w:rsidRPr="00B340C5">
        <w:rPr>
          <w:rFonts w:cs="Times New Roman"/>
          <w:szCs w:val="24"/>
        </w:rPr>
        <w:t>leyéndose, en lo sucesivo el artículo 2, de la siguiente forma:</w:t>
      </w:r>
    </w:p>
    <w:p w14:paraId="6AC2D5CB" w14:textId="77777777" w:rsidR="008F7F49" w:rsidRDefault="008F7F49" w:rsidP="00B340C5">
      <w:pPr>
        <w:pStyle w:val="Prrafodelista"/>
        <w:spacing w:line="240" w:lineRule="auto"/>
        <w:jc w:val="both"/>
        <w:rPr>
          <w:rFonts w:cs="Times New Roman"/>
          <w:szCs w:val="24"/>
        </w:rPr>
      </w:pPr>
    </w:p>
    <w:p w14:paraId="5C61138B" w14:textId="77777777" w:rsidR="000121AB" w:rsidRPr="00B340C5" w:rsidRDefault="000121AB" w:rsidP="00B340C5">
      <w:pPr>
        <w:pStyle w:val="Prrafodelista"/>
        <w:spacing w:line="240" w:lineRule="auto"/>
        <w:jc w:val="both"/>
        <w:rPr>
          <w:rFonts w:cs="Times New Roman"/>
          <w:szCs w:val="24"/>
        </w:rPr>
      </w:pPr>
    </w:p>
    <w:p w14:paraId="632C4174" w14:textId="1C362352" w:rsidR="0002397B" w:rsidRPr="00B340C5" w:rsidRDefault="008F7F49" w:rsidP="00B340C5">
      <w:pPr>
        <w:pStyle w:val="Prrafodelista"/>
        <w:spacing w:line="240" w:lineRule="auto"/>
        <w:jc w:val="both"/>
        <w:rPr>
          <w:rFonts w:cs="Times New Roman"/>
          <w:szCs w:val="24"/>
        </w:rPr>
      </w:pPr>
      <w:r w:rsidRPr="00B340C5">
        <w:rPr>
          <w:rFonts w:cs="Times New Roman"/>
          <w:szCs w:val="24"/>
        </w:rPr>
        <w:lastRenderedPageBreak/>
        <w:t>“</w:t>
      </w:r>
      <w:r w:rsidR="0002397B" w:rsidRPr="00B340C5">
        <w:rPr>
          <w:rFonts w:cs="Times New Roman"/>
          <w:b/>
          <w:bCs/>
          <w:szCs w:val="24"/>
        </w:rPr>
        <w:t>Artículo 2. Definiciones</w:t>
      </w:r>
    </w:p>
    <w:p w14:paraId="04EB87A5" w14:textId="09AFA6B1" w:rsidR="001C4FB4" w:rsidRPr="00B340C5" w:rsidRDefault="0002397B" w:rsidP="00B340C5">
      <w:pPr>
        <w:pStyle w:val="Prrafodelista"/>
        <w:spacing w:line="240" w:lineRule="auto"/>
        <w:jc w:val="both"/>
        <w:rPr>
          <w:rFonts w:cs="Times New Roman"/>
          <w:szCs w:val="24"/>
        </w:rPr>
      </w:pPr>
      <w:r w:rsidRPr="00B340C5">
        <w:rPr>
          <w:rFonts w:cs="Times New Roman"/>
          <w:szCs w:val="24"/>
        </w:rPr>
        <w:t>Para efectos del presente acuerdo se entiende por:</w:t>
      </w:r>
    </w:p>
    <w:p w14:paraId="1DDA945A" w14:textId="1924C087" w:rsidR="00B2636B" w:rsidRPr="00B340C5" w:rsidRDefault="00B2636B" w:rsidP="00B340C5">
      <w:pPr>
        <w:pStyle w:val="Prrafodelista"/>
        <w:spacing w:line="240" w:lineRule="auto"/>
        <w:jc w:val="both"/>
        <w:rPr>
          <w:rFonts w:cs="Times New Roman"/>
          <w:szCs w:val="24"/>
        </w:rPr>
      </w:pPr>
      <w:r w:rsidRPr="00B340C5">
        <w:rPr>
          <w:rFonts w:cs="Times New Roman"/>
          <w:b/>
          <w:bCs/>
          <w:szCs w:val="24"/>
        </w:rPr>
        <w:t>Acreditación o imputación:</w:t>
      </w:r>
      <w:r w:rsidRPr="00B340C5">
        <w:rPr>
          <w:rFonts w:cs="Times New Roman"/>
          <w:szCs w:val="24"/>
        </w:rPr>
        <w:t xml:space="preserve"> </w:t>
      </w:r>
      <w:r w:rsidR="00F66992" w:rsidRPr="00B340C5">
        <w:rPr>
          <w:rFonts w:cs="Times New Roman"/>
          <w:szCs w:val="24"/>
        </w:rPr>
        <w:t>Asignación y registro de recursos en la cuenta individual del afiliado a un fondo obligatorio o voluntario</w:t>
      </w:r>
      <w:r w:rsidRPr="00B340C5">
        <w:rPr>
          <w:rFonts w:cs="Times New Roman"/>
          <w:szCs w:val="24"/>
        </w:rPr>
        <w:t>.</w:t>
      </w:r>
    </w:p>
    <w:p w14:paraId="11BE3C10" w14:textId="77777777" w:rsidR="00B51FF6" w:rsidRPr="00B340C5" w:rsidRDefault="0002397B" w:rsidP="00B340C5">
      <w:pPr>
        <w:pStyle w:val="Prrafodelista"/>
        <w:spacing w:line="240" w:lineRule="auto"/>
        <w:jc w:val="both"/>
        <w:rPr>
          <w:rFonts w:cs="Times New Roman"/>
          <w:szCs w:val="24"/>
        </w:rPr>
      </w:pPr>
      <w:r w:rsidRPr="00B340C5">
        <w:rPr>
          <w:rFonts w:cs="Times New Roman"/>
          <w:b/>
          <w:bCs/>
          <w:szCs w:val="24"/>
        </w:rPr>
        <w:t>Afiliado:</w:t>
      </w:r>
      <w:r w:rsidRPr="00B340C5">
        <w:rPr>
          <w:rFonts w:cs="Times New Roman"/>
          <w:szCs w:val="24"/>
        </w:rPr>
        <w:t xml:space="preserve"> </w:t>
      </w:r>
      <w:r w:rsidR="00B51FF6" w:rsidRPr="00B340C5">
        <w:rPr>
          <w:rFonts w:cs="Times New Roman"/>
          <w:szCs w:val="24"/>
        </w:rPr>
        <w:t xml:space="preserve">aportante, pensionado o beneficiario que dispone de una cuenta individual en una </w:t>
      </w:r>
    </w:p>
    <w:p w14:paraId="2BD753B7" w14:textId="4A12FE77" w:rsidR="0002397B" w:rsidRPr="00B340C5" w:rsidRDefault="00B51FF6" w:rsidP="00B340C5">
      <w:pPr>
        <w:pStyle w:val="Prrafodelista"/>
        <w:spacing w:line="240" w:lineRule="auto"/>
        <w:jc w:val="both"/>
        <w:rPr>
          <w:rFonts w:cs="Times New Roman"/>
          <w:szCs w:val="24"/>
        </w:rPr>
      </w:pPr>
      <w:r w:rsidRPr="00B340C5">
        <w:rPr>
          <w:rFonts w:cs="Times New Roman"/>
          <w:szCs w:val="24"/>
        </w:rPr>
        <w:t>entidad autorizada</w:t>
      </w:r>
      <w:r w:rsidR="0002397B" w:rsidRPr="00B340C5">
        <w:rPr>
          <w:rFonts w:cs="Times New Roman"/>
          <w:szCs w:val="24"/>
        </w:rPr>
        <w:t>.</w:t>
      </w:r>
    </w:p>
    <w:p w14:paraId="19556EAB" w14:textId="0EFC097C" w:rsidR="001D3CA8" w:rsidRPr="00B340C5" w:rsidRDefault="001D3CA8" w:rsidP="00B340C5">
      <w:pPr>
        <w:pStyle w:val="Prrafodelista"/>
        <w:spacing w:line="240" w:lineRule="auto"/>
        <w:jc w:val="both"/>
        <w:rPr>
          <w:rFonts w:cs="Times New Roman"/>
          <w:szCs w:val="24"/>
        </w:rPr>
      </w:pPr>
      <w:r w:rsidRPr="00B340C5">
        <w:rPr>
          <w:rFonts w:cs="Times New Roman"/>
          <w:b/>
          <w:bCs/>
          <w:szCs w:val="24"/>
        </w:rPr>
        <w:t>Auxiliar de errores en la gestión de la cuenta individual:</w:t>
      </w:r>
      <w:r w:rsidRPr="00B340C5">
        <w:rPr>
          <w:rFonts w:cs="Times New Roman"/>
          <w:szCs w:val="24"/>
        </w:rPr>
        <w:t xml:space="preserve"> </w:t>
      </w:r>
      <w:r w:rsidR="00A750E9" w:rsidRPr="00B340C5">
        <w:rPr>
          <w:rFonts w:cs="Times New Roman"/>
          <w:szCs w:val="24"/>
        </w:rPr>
        <w:t>registro auxiliar donde se consigna la información que permite identificar el origen del error, los afectados y la cuantía del error (este auxiliar presentará el saldo conciliado de los aportes recibidos por asignar y la corrección de imputaciones). Además, este auxiliar contiene la información de los registros erróneos</w:t>
      </w:r>
      <w:r w:rsidRPr="00B340C5">
        <w:rPr>
          <w:rFonts w:cs="Times New Roman"/>
          <w:szCs w:val="24"/>
        </w:rPr>
        <w:t>.</w:t>
      </w:r>
    </w:p>
    <w:p w14:paraId="031D142F" w14:textId="48826F9F" w:rsidR="006F5480" w:rsidRPr="00B340C5" w:rsidRDefault="006F5480" w:rsidP="00B340C5">
      <w:pPr>
        <w:pStyle w:val="Prrafodelista"/>
        <w:spacing w:line="240" w:lineRule="auto"/>
        <w:jc w:val="both"/>
        <w:rPr>
          <w:rFonts w:cs="Times New Roman"/>
          <w:szCs w:val="24"/>
        </w:rPr>
      </w:pPr>
      <w:r w:rsidRPr="00B340C5">
        <w:rPr>
          <w:rFonts w:cs="Times New Roman"/>
          <w:b/>
          <w:bCs/>
          <w:szCs w:val="24"/>
        </w:rPr>
        <w:t>Corrección de imputaciones:</w:t>
      </w:r>
      <w:r w:rsidRPr="00B340C5">
        <w:rPr>
          <w:rFonts w:cs="Times New Roman"/>
          <w:szCs w:val="24"/>
        </w:rPr>
        <w:t xml:space="preserve"> </w:t>
      </w:r>
      <w:r w:rsidR="00CE1D3B" w:rsidRPr="00B340C5">
        <w:rPr>
          <w:rFonts w:cs="Times New Roman"/>
          <w:szCs w:val="24"/>
        </w:rPr>
        <w:t>proceso de subsanación de errores en la acreditación</w:t>
      </w:r>
      <w:r w:rsidRPr="00B340C5">
        <w:rPr>
          <w:rFonts w:cs="Times New Roman"/>
          <w:szCs w:val="24"/>
        </w:rPr>
        <w:t>.</w:t>
      </w:r>
    </w:p>
    <w:p w14:paraId="01A67AEC" w14:textId="72B4A523" w:rsidR="006F5480" w:rsidRPr="00B340C5" w:rsidRDefault="006F5480" w:rsidP="00B340C5">
      <w:pPr>
        <w:pStyle w:val="Prrafodelista"/>
        <w:spacing w:line="240" w:lineRule="auto"/>
        <w:jc w:val="both"/>
        <w:rPr>
          <w:rFonts w:cs="Times New Roman"/>
          <w:szCs w:val="24"/>
        </w:rPr>
      </w:pPr>
      <w:r w:rsidRPr="00B340C5">
        <w:rPr>
          <w:rFonts w:cs="Times New Roman"/>
          <w:b/>
          <w:bCs/>
          <w:szCs w:val="24"/>
        </w:rPr>
        <w:t>Cuenta de aportes recibidos por asignar:</w:t>
      </w:r>
      <w:r w:rsidRPr="00B340C5">
        <w:rPr>
          <w:rFonts w:cs="Times New Roman"/>
          <w:szCs w:val="24"/>
        </w:rPr>
        <w:t xml:space="preserve"> </w:t>
      </w:r>
      <w:r w:rsidR="00A62B58" w:rsidRPr="00B340C5">
        <w:rPr>
          <w:rFonts w:cs="Times New Roman"/>
          <w:szCs w:val="24"/>
        </w:rPr>
        <w:t>cuenta individual donde se registran los recursos cuyo titular está pendiente de ser identificado</w:t>
      </w:r>
      <w:r w:rsidRPr="00B340C5">
        <w:rPr>
          <w:rFonts w:cs="Times New Roman"/>
          <w:szCs w:val="24"/>
        </w:rPr>
        <w:t>.</w:t>
      </w:r>
    </w:p>
    <w:p w14:paraId="1C952D16" w14:textId="7AE4EA97" w:rsidR="00A65E7E" w:rsidRPr="00B340C5" w:rsidRDefault="00A65E7E" w:rsidP="00B340C5">
      <w:pPr>
        <w:spacing w:line="240" w:lineRule="auto"/>
        <w:ind w:left="708"/>
        <w:contextualSpacing/>
        <w:jc w:val="both"/>
        <w:rPr>
          <w:rFonts w:cs="Times New Roman"/>
          <w:szCs w:val="24"/>
        </w:rPr>
      </w:pPr>
      <w:r w:rsidRPr="00B340C5">
        <w:rPr>
          <w:rFonts w:cs="Times New Roman"/>
          <w:b/>
          <w:bCs/>
          <w:szCs w:val="24"/>
        </w:rPr>
        <w:t>Cuenta de registros erróneos:</w:t>
      </w:r>
      <w:r w:rsidRPr="00B340C5">
        <w:rPr>
          <w:rFonts w:cs="Times New Roman"/>
          <w:szCs w:val="24"/>
        </w:rPr>
        <w:t xml:space="preserve"> </w:t>
      </w:r>
      <w:r w:rsidR="00505AC3" w:rsidRPr="00B340C5">
        <w:rPr>
          <w:rFonts w:cs="Times New Roman"/>
          <w:szCs w:val="24"/>
        </w:rPr>
        <w:t>cuenta individual donde se registran los recursos indicados por la CCSS como registros erróneos</w:t>
      </w:r>
      <w:r w:rsidRPr="00B340C5">
        <w:rPr>
          <w:rFonts w:cs="Times New Roman"/>
          <w:szCs w:val="24"/>
        </w:rPr>
        <w:t>.</w:t>
      </w:r>
    </w:p>
    <w:p w14:paraId="082DD3E7" w14:textId="0A0EC0EE" w:rsidR="006F5480" w:rsidRPr="00B340C5" w:rsidRDefault="006F5480" w:rsidP="00B340C5">
      <w:pPr>
        <w:pStyle w:val="Prrafodelista"/>
        <w:spacing w:line="240" w:lineRule="auto"/>
        <w:jc w:val="both"/>
        <w:rPr>
          <w:rFonts w:cs="Times New Roman"/>
          <w:szCs w:val="24"/>
        </w:rPr>
      </w:pPr>
      <w:r w:rsidRPr="00B340C5">
        <w:rPr>
          <w:rFonts w:cs="Times New Roman"/>
          <w:b/>
          <w:bCs/>
          <w:szCs w:val="24"/>
        </w:rPr>
        <w:t>Error en la acreditación:</w:t>
      </w:r>
      <w:r w:rsidRPr="00B340C5">
        <w:rPr>
          <w:rFonts w:cs="Times New Roman"/>
          <w:szCs w:val="24"/>
        </w:rPr>
        <w:t xml:space="preserve"> </w:t>
      </w:r>
      <w:r w:rsidR="009F5B29" w:rsidRPr="00B340C5">
        <w:rPr>
          <w:rFonts w:cs="Times New Roman"/>
          <w:szCs w:val="24"/>
        </w:rPr>
        <w:t>Asignación y registro de recursos a una cuenta individual a la que no le corresponde. Para efectos de este acuerdo se considerará error, además, la imposibilidad de asignar los recursos recaudados a una cuenta individual</w:t>
      </w:r>
      <w:r w:rsidRPr="00B340C5">
        <w:rPr>
          <w:rFonts w:cs="Times New Roman"/>
          <w:szCs w:val="24"/>
        </w:rPr>
        <w:t>.</w:t>
      </w:r>
    </w:p>
    <w:p w14:paraId="0E0777C8" w14:textId="4FBBC647" w:rsidR="009F300D" w:rsidRPr="00B340C5" w:rsidRDefault="009F300D" w:rsidP="00B340C5">
      <w:pPr>
        <w:pStyle w:val="Prrafodelista"/>
        <w:spacing w:line="240" w:lineRule="auto"/>
        <w:jc w:val="both"/>
        <w:rPr>
          <w:rFonts w:cs="Times New Roman"/>
          <w:szCs w:val="24"/>
        </w:rPr>
      </w:pPr>
      <w:r w:rsidRPr="00B340C5">
        <w:rPr>
          <w:rFonts w:cs="Times New Roman"/>
          <w:b/>
          <w:bCs/>
          <w:szCs w:val="24"/>
        </w:rPr>
        <w:t>Liberación:</w:t>
      </w:r>
      <w:r w:rsidRPr="00B340C5">
        <w:rPr>
          <w:rFonts w:cs="Times New Roman"/>
          <w:szCs w:val="24"/>
        </w:rPr>
        <w:t xml:space="preserve"> entrega al titular de los recursos registrados en la cuenta de aportes recibidos por asignar, ya sea en la cuenta individual o a través de su salida del fondo, en caso de que no pertenezcan al régimen de capitalización individual.</w:t>
      </w:r>
    </w:p>
    <w:p w14:paraId="7B816984" w14:textId="77777777" w:rsidR="00C564F4" w:rsidRPr="00B340C5" w:rsidRDefault="0002397B" w:rsidP="00B340C5">
      <w:pPr>
        <w:pStyle w:val="Prrafodelista"/>
        <w:spacing w:line="240" w:lineRule="auto"/>
        <w:jc w:val="both"/>
        <w:rPr>
          <w:rFonts w:cs="Times New Roman"/>
          <w:szCs w:val="24"/>
        </w:rPr>
      </w:pPr>
      <w:r w:rsidRPr="00B340C5">
        <w:rPr>
          <w:rFonts w:cs="Times New Roman"/>
          <w:b/>
          <w:bCs/>
          <w:szCs w:val="24"/>
        </w:rPr>
        <w:t>Recaudo de aportes:</w:t>
      </w:r>
      <w:r w:rsidRPr="00B340C5">
        <w:rPr>
          <w:rFonts w:cs="Times New Roman"/>
          <w:szCs w:val="24"/>
        </w:rPr>
        <w:t xml:space="preserve"> </w:t>
      </w:r>
      <w:r w:rsidR="00C564F4" w:rsidRPr="00B340C5">
        <w:rPr>
          <w:rFonts w:cs="Times New Roman"/>
          <w:szCs w:val="24"/>
        </w:rPr>
        <w:t xml:space="preserve">Proceso tendiente a la obtención de los recursos pertenecientes a los </w:t>
      </w:r>
    </w:p>
    <w:p w14:paraId="76E328F5" w14:textId="2EB9F027" w:rsidR="0002397B" w:rsidRPr="00B340C5" w:rsidRDefault="00C564F4" w:rsidP="00B340C5">
      <w:pPr>
        <w:pStyle w:val="Prrafodelista"/>
        <w:spacing w:line="240" w:lineRule="auto"/>
        <w:jc w:val="both"/>
        <w:rPr>
          <w:rFonts w:cs="Times New Roman"/>
          <w:szCs w:val="24"/>
        </w:rPr>
      </w:pPr>
      <w:r w:rsidRPr="00B340C5">
        <w:rPr>
          <w:rFonts w:cs="Times New Roman"/>
          <w:szCs w:val="24"/>
        </w:rPr>
        <w:t>afiliados, producto de las aportaciones obligatorias establecidas en la Ley de Protección al Trabajador o en los contratos de pensiones voluntarias</w:t>
      </w:r>
      <w:r w:rsidR="0002397B" w:rsidRPr="00B340C5">
        <w:rPr>
          <w:rFonts w:cs="Times New Roman"/>
          <w:szCs w:val="24"/>
        </w:rPr>
        <w:t>.</w:t>
      </w:r>
    </w:p>
    <w:p w14:paraId="399AF4CA" w14:textId="65922469" w:rsidR="001D3CA8" w:rsidRPr="00B340C5" w:rsidRDefault="001D3CA8" w:rsidP="00B340C5">
      <w:pPr>
        <w:spacing w:line="240" w:lineRule="auto"/>
        <w:ind w:firstLine="708"/>
        <w:contextualSpacing/>
        <w:jc w:val="both"/>
        <w:rPr>
          <w:rFonts w:cs="Times New Roman"/>
          <w:szCs w:val="24"/>
        </w:rPr>
      </w:pPr>
      <w:r w:rsidRPr="00B340C5">
        <w:rPr>
          <w:rFonts w:cs="Times New Roman"/>
          <w:b/>
          <w:bCs/>
          <w:szCs w:val="24"/>
        </w:rPr>
        <w:t>Registro erróneo:</w:t>
      </w:r>
      <w:r w:rsidRPr="00B340C5">
        <w:rPr>
          <w:rFonts w:cs="Times New Roman"/>
          <w:szCs w:val="24"/>
        </w:rPr>
        <w:t xml:space="preserve"> </w:t>
      </w:r>
      <w:r w:rsidR="00250B46" w:rsidRPr="00B340C5">
        <w:rPr>
          <w:rFonts w:cs="Times New Roman"/>
          <w:szCs w:val="24"/>
        </w:rPr>
        <w:t>registro identificado como tal, por la CCSS</w:t>
      </w:r>
      <w:r w:rsidRPr="00B340C5">
        <w:rPr>
          <w:rFonts w:cs="Times New Roman"/>
          <w:szCs w:val="24"/>
        </w:rPr>
        <w:t>.</w:t>
      </w:r>
    </w:p>
    <w:p w14:paraId="35085C44" w14:textId="77777777" w:rsidR="00CC6744" w:rsidRPr="00B340C5" w:rsidRDefault="0002397B" w:rsidP="00B340C5">
      <w:pPr>
        <w:pStyle w:val="Prrafodelista"/>
        <w:spacing w:line="240" w:lineRule="auto"/>
        <w:jc w:val="both"/>
        <w:rPr>
          <w:rFonts w:cs="Times New Roman"/>
          <w:szCs w:val="24"/>
        </w:rPr>
      </w:pPr>
      <w:r w:rsidRPr="00B340C5">
        <w:rPr>
          <w:rFonts w:cs="Times New Roman"/>
          <w:b/>
          <w:bCs/>
          <w:szCs w:val="24"/>
        </w:rPr>
        <w:t>Titular:</w:t>
      </w:r>
      <w:r w:rsidRPr="00B340C5">
        <w:rPr>
          <w:rFonts w:cs="Times New Roman"/>
          <w:szCs w:val="24"/>
        </w:rPr>
        <w:t xml:space="preserve"> </w:t>
      </w:r>
      <w:r w:rsidR="00CC6744" w:rsidRPr="00B340C5">
        <w:rPr>
          <w:rFonts w:cs="Times New Roman"/>
          <w:szCs w:val="24"/>
        </w:rPr>
        <w:t xml:space="preserve">persona física o jurídica a quien pertenecen los recursos imputados en una cuenta </w:t>
      </w:r>
    </w:p>
    <w:p w14:paraId="3DC8CF8E" w14:textId="1CC87A71" w:rsidR="00CE20F2" w:rsidRPr="00B340C5" w:rsidRDefault="00CC6744" w:rsidP="00B340C5">
      <w:pPr>
        <w:pStyle w:val="Prrafodelista"/>
        <w:spacing w:line="240" w:lineRule="auto"/>
        <w:jc w:val="both"/>
        <w:rPr>
          <w:rFonts w:cs="Times New Roman"/>
          <w:szCs w:val="24"/>
        </w:rPr>
      </w:pPr>
      <w:r w:rsidRPr="00B340C5">
        <w:rPr>
          <w:rFonts w:cs="Times New Roman"/>
          <w:szCs w:val="24"/>
        </w:rPr>
        <w:t>individual</w:t>
      </w:r>
      <w:r w:rsidR="0002397B" w:rsidRPr="00B340C5">
        <w:rPr>
          <w:rFonts w:cs="Times New Roman"/>
          <w:szCs w:val="24"/>
        </w:rPr>
        <w:t>.</w:t>
      </w:r>
      <w:r w:rsidR="0073319A" w:rsidRPr="00B340C5">
        <w:rPr>
          <w:rFonts w:cs="Times New Roman"/>
          <w:szCs w:val="24"/>
        </w:rPr>
        <w:t>”</w:t>
      </w:r>
    </w:p>
    <w:p w14:paraId="537B4024" w14:textId="77777777" w:rsidR="00BD369E" w:rsidRPr="00B340C5" w:rsidRDefault="00BD369E" w:rsidP="00B340C5">
      <w:pPr>
        <w:pStyle w:val="Prrafodelista"/>
        <w:spacing w:line="240" w:lineRule="auto"/>
        <w:jc w:val="both"/>
        <w:rPr>
          <w:rFonts w:cs="Times New Roman"/>
          <w:szCs w:val="24"/>
        </w:rPr>
      </w:pPr>
    </w:p>
    <w:p w14:paraId="5F278336" w14:textId="4F3D620F" w:rsidR="005A0E21" w:rsidRPr="00B340C5" w:rsidRDefault="005A0E21" w:rsidP="00B340C5">
      <w:pPr>
        <w:pStyle w:val="Prrafodelista"/>
        <w:numPr>
          <w:ilvl w:val="0"/>
          <w:numId w:val="11"/>
        </w:numPr>
        <w:spacing w:line="240" w:lineRule="auto"/>
        <w:jc w:val="both"/>
        <w:rPr>
          <w:rFonts w:cs="Times New Roman"/>
          <w:szCs w:val="24"/>
        </w:rPr>
      </w:pPr>
      <w:r w:rsidRPr="00B340C5">
        <w:rPr>
          <w:rFonts w:cs="Times New Roman"/>
          <w:szCs w:val="24"/>
        </w:rPr>
        <w:t xml:space="preserve">Se modifica el inciso j) del artículo 3, </w:t>
      </w:r>
      <w:r w:rsidRPr="00B340C5">
        <w:rPr>
          <w:rFonts w:cs="Times New Roman"/>
          <w:b/>
          <w:bCs/>
          <w:szCs w:val="24"/>
        </w:rPr>
        <w:t>Principios rectores</w:t>
      </w:r>
      <w:r w:rsidRPr="00B340C5">
        <w:rPr>
          <w:rFonts w:cs="Times New Roman"/>
          <w:szCs w:val="24"/>
        </w:rPr>
        <w:t>, para que en adelante se lea de la siguiente manera:</w:t>
      </w:r>
    </w:p>
    <w:p w14:paraId="00E7BB16" w14:textId="77777777" w:rsidR="008F093D" w:rsidRPr="00B340C5" w:rsidRDefault="008F093D" w:rsidP="00B340C5">
      <w:pPr>
        <w:pStyle w:val="Prrafodelista"/>
        <w:spacing w:line="240" w:lineRule="auto"/>
        <w:jc w:val="both"/>
        <w:rPr>
          <w:rFonts w:cs="Times New Roman"/>
          <w:szCs w:val="24"/>
        </w:rPr>
      </w:pPr>
    </w:p>
    <w:p w14:paraId="09E19F03" w14:textId="77777777" w:rsidR="005A0E21" w:rsidRPr="00B340C5" w:rsidRDefault="005A0E21" w:rsidP="00B340C5">
      <w:pPr>
        <w:spacing w:line="240" w:lineRule="auto"/>
        <w:ind w:firstLine="708"/>
        <w:contextualSpacing/>
        <w:jc w:val="both"/>
        <w:rPr>
          <w:rFonts w:cs="Times New Roman"/>
          <w:szCs w:val="24"/>
        </w:rPr>
      </w:pPr>
      <w:r w:rsidRPr="00B340C5">
        <w:rPr>
          <w:rFonts w:cs="Times New Roman"/>
          <w:szCs w:val="24"/>
        </w:rPr>
        <w:t>“</w:t>
      </w:r>
      <w:r w:rsidRPr="00B340C5">
        <w:rPr>
          <w:rFonts w:cs="Times New Roman"/>
          <w:b/>
          <w:bCs/>
          <w:szCs w:val="24"/>
        </w:rPr>
        <w:t>Artículo 3. Principios rectores</w:t>
      </w:r>
      <w:r w:rsidRPr="00B340C5">
        <w:rPr>
          <w:rFonts w:cs="Times New Roman"/>
          <w:szCs w:val="24"/>
        </w:rPr>
        <w:t xml:space="preserve"> </w:t>
      </w:r>
    </w:p>
    <w:p w14:paraId="2F9DFB40" w14:textId="77777777" w:rsidR="005A0E21" w:rsidRPr="00B340C5" w:rsidRDefault="005A0E21" w:rsidP="00B340C5">
      <w:pPr>
        <w:spacing w:line="240" w:lineRule="auto"/>
        <w:ind w:firstLine="708"/>
        <w:contextualSpacing/>
        <w:jc w:val="both"/>
        <w:rPr>
          <w:rFonts w:cs="Times New Roman"/>
          <w:szCs w:val="24"/>
        </w:rPr>
      </w:pPr>
      <w:r w:rsidRPr="00B340C5">
        <w:rPr>
          <w:rFonts w:cs="Times New Roman"/>
          <w:szCs w:val="24"/>
        </w:rPr>
        <w:t>[…]</w:t>
      </w:r>
    </w:p>
    <w:p w14:paraId="3B680DA5" w14:textId="5DEEE992" w:rsidR="008F093D" w:rsidRPr="00B340C5" w:rsidRDefault="005A0E21" w:rsidP="00B340C5">
      <w:pPr>
        <w:spacing w:line="240" w:lineRule="auto"/>
        <w:ind w:left="708"/>
        <w:contextualSpacing/>
        <w:jc w:val="both"/>
        <w:rPr>
          <w:rFonts w:cs="Times New Roman"/>
          <w:szCs w:val="24"/>
        </w:rPr>
      </w:pPr>
      <w:r w:rsidRPr="00B340C5">
        <w:rPr>
          <w:rFonts w:cs="Times New Roman"/>
          <w:b/>
          <w:bCs/>
          <w:szCs w:val="24"/>
        </w:rPr>
        <w:t>j)  Registro y control:</w:t>
      </w:r>
      <w:r w:rsidRPr="00B340C5">
        <w:rPr>
          <w:rFonts w:cs="Times New Roman"/>
          <w:szCs w:val="24"/>
        </w:rPr>
        <w:t xml:space="preserve"> </w:t>
      </w:r>
      <w:r w:rsidR="004E399E" w:rsidRPr="00B340C5">
        <w:rPr>
          <w:rFonts w:cs="Times New Roman"/>
          <w:szCs w:val="24"/>
        </w:rPr>
        <w:t>Los movimientos subsecuentes de la cuenta de aportes recibidos por asignar y el de registro de erróneos, deben realizarse utilizando los códigos de movimientos de las tablas y anexos del Manual de Información</w:t>
      </w:r>
      <w:r w:rsidRPr="00B340C5">
        <w:rPr>
          <w:rFonts w:cs="Times New Roman"/>
          <w:szCs w:val="24"/>
        </w:rPr>
        <w:t>.”</w:t>
      </w:r>
    </w:p>
    <w:p w14:paraId="7985366F" w14:textId="77777777" w:rsidR="00B340C5" w:rsidRPr="00B340C5" w:rsidRDefault="00B340C5" w:rsidP="00B340C5">
      <w:pPr>
        <w:spacing w:line="240" w:lineRule="auto"/>
        <w:contextualSpacing/>
        <w:jc w:val="both"/>
        <w:rPr>
          <w:rFonts w:cs="Times New Roman"/>
          <w:szCs w:val="24"/>
        </w:rPr>
      </w:pPr>
    </w:p>
    <w:p w14:paraId="00F04D7B" w14:textId="79D52BC6" w:rsidR="005A0E21" w:rsidRPr="00B340C5" w:rsidRDefault="005A0E21" w:rsidP="00B340C5">
      <w:pPr>
        <w:pStyle w:val="Prrafodelista"/>
        <w:numPr>
          <w:ilvl w:val="0"/>
          <w:numId w:val="11"/>
        </w:numPr>
        <w:spacing w:line="240" w:lineRule="auto"/>
        <w:jc w:val="both"/>
        <w:rPr>
          <w:rFonts w:cs="Times New Roman"/>
          <w:szCs w:val="24"/>
        </w:rPr>
      </w:pPr>
      <w:r w:rsidRPr="00B340C5">
        <w:rPr>
          <w:rFonts w:cs="Times New Roman"/>
          <w:szCs w:val="24"/>
        </w:rPr>
        <w:t xml:space="preserve">Se reforma el </w:t>
      </w:r>
      <w:r w:rsidR="00C05E99" w:rsidRPr="00B340C5">
        <w:rPr>
          <w:rFonts w:cs="Times New Roman"/>
          <w:szCs w:val="24"/>
        </w:rPr>
        <w:t>A</w:t>
      </w:r>
      <w:r w:rsidRPr="00B340C5">
        <w:rPr>
          <w:rFonts w:cs="Times New Roman"/>
          <w:szCs w:val="24"/>
        </w:rPr>
        <w:t>rtículo 6</w:t>
      </w:r>
      <w:r w:rsidR="00C05E99" w:rsidRPr="00B340C5">
        <w:rPr>
          <w:rFonts w:cs="Times New Roman"/>
          <w:szCs w:val="24"/>
        </w:rPr>
        <w:t xml:space="preserve">, </w:t>
      </w:r>
      <w:r w:rsidRPr="00B340C5">
        <w:rPr>
          <w:rFonts w:cs="Times New Roman"/>
          <w:szCs w:val="24"/>
        </w:rPr>
        <w:t>para que en adelante se lea de la siguiente manera:</w:t>
      </w:r>
    </w:p>
    <w:p w14:paraId="0602B0EF" w14:textId="77777777" w:rsidR="009C6CEE" w:rsidRPr="00B340C5" w:rsidRDefault="009C6CEE" w:rsidP="00B340C5">
      <w:pPr>
        <w:pStyle w:val="Prrafodelista"/>
        <w:spacing w:line="240" w:lineRule="auto"/>
        <w:jc w:val="both"/>
        <w:rPr>
          <w:rFonts w:cs="Times New Roman"/>
          <w:szCs w:val="24"/>
        </w:rPr>
      </w:pPr>
    </w:p>
    <w:p w14:paraId="0F599AEC" w14:textId="77777777" w:rsidR="005A0E21" w:rsidRPr="00B340C5" w:rsidRDefault="005A0E21" w:rsidP="00B340C5">
      <w:pPr>
        <w:spacing w:line="240" w:lineRule="auto"/>
        <w:ind w:firstLine="708"/>
        <w:contextualSpacing/>
        <w:jc w:val="both"/>
        <w:rPr>
          <w:rFonts w:cs="Times New Roman"/>
          <w:szCs w:val="24"/>
        </w:rPr>
      </w:pPr>
      <w:r w:rsidRPr="00B340C5">
        <w:rPr>
          <w:rFonts w:cs="Times New Roman"/>
          <w:szCs w:val="24"/>
        </w:rPr>
        <w:t>“</w:t>
      </w:r>
      <w:r w:rsidRPr="00B340C5">
        <w:rPr>
          <w:rFonts w:cs="Times New Roman"/>
          <w:b/>
          <w:bCs/>
          <w:szCs w:val="24"/>
        </w:rPr>
        <w:t>Artículo 6. Manejo de recursos ante error</w:t>
      </w:r>
    </w:p>
    <w:p w14:paraId="7B990348" w14:textId="3FF286AB" w:rsidR="005A0E21" w:rsidRPr="00B340C5" w:rsidRDefault="000A6A9F" w:rsidP="00B340C5">
      <w:pPr>
        <w:spacing w:line="240" w:lineRule="auto"/>
        <w:ind w:left="708"/>
        <w:contextualSpacing/>
        <w:jc w:val="both"/>
        <w:rPr>
          <w:rFonts w:cs="Times New Roman"/>
          <w:szCs w:val="24"/>
        </w:rPr>
      </w:pPr>
      <w:r w:rsidRPr="00B340C5">
        <w:rPr>
          <w:rFonts w:cs="Times New Roman"/>
          <w:szCs w:val="24"/>
        </w:rPr>
        <w:t xml:space="preserve">Una vez que se haya determinado la existencia de un error, las entidades autorizadas deben registrarlo en el auxiliar de errores correspondiente, ya sea de aportes por asignar o registro </w:t>
      </w:r>
      <w:r w:rsidRPr="00B340C5">
        <w:rPr>
          <w:rFonts w:cs="Times New Roman"/>
          <w:szCs w:val="24"/>
        </w:rPr>
        <w:lastRenderedPageBreak/>
        <w:t>de erróneos. Dichos registros deberán operar como un expediente de errores, para lo cual, cada caso contará con un identificador único que dará trazabilidad a todo lo actuado, hasta su definitiva corrección</w:t>
      </w:r>
      <w:r w:rsidR="005A0E21" w:rsidRPr="00B340C5">
        <w:rPr>
          <w:rFonts w:cs="Times New Roman"/>
          <w:szCs w:val="24"/>
        </w:rPr>
        <w:t>.”</w:t>
      </w:r>
    </w:p>
    <w:p w14:paraId="26AF1389" w14:textId="77777777" w:rsidR="002A56DD" w:rsidRPr="00B340C5" w:rsidRDefault="002A56DD" w:rsidP="00B340C5">
      <w:pPr>
        <w:spacing w:line="240" w:lineRule="auto"/>
        <w:contextualSpacing/>
        <w:jc w:val="both"/>
        <w:rPr>
          <w:rFonts w:cs="Times New Roman"/>
          <w:szCs w:val="24"/>
        </w:rPr>
      </w:pPr>
    </w:p>
    <w:p w14:paraId="381FE029" w14:textId="29A48EF7" w:rsidR="005A0E21" w:rsidRPr="00B340C5" w:rsidRDefault="005A0E21" w:rsidP="00B340C5">
      <w:pPr>
        <w:pStyle w:val="Prrafodelista"/>
        <w:numPr>
          <w:ilvl w:val="0"/>
          <w:numId w:val="11"/>
        </w:numPr>
        <w:spacing w:line="240" w:lineRule="auto"/>
        <w:jc w:val="both"/>
        <w:rPr>
          <w:rFonts w:cs="Times New Roman"/>
          <w:szCs w:val="24"/>
        </w:rPr>
      </w:pPr>
      <w:r w:rsidRPr="00B340C5">
        <w:rPr>
          <w:rFonts w:cs="Times New Roman"/>
          <w:szCs w:val="24"/>
        </w:rPr>
        <w:t>Se reforma el artículo 12, para que en adelante se lea de la siguiente manera:</w:t>
      </w:r>
    </w:p>
    <w:p w14:paraId="77E35FD2" w14:textId="77777777" w:rsidR="009C6CEE" w:rsidRPr="00B340C5" w:rsidRDefault="009C6CEE" w:rsidP="00B340C5">
      <w:pPr>
        <w:pStyle w:val="Prrafodelista"/>
        <w:spacing w:line="240" w:lineRule="auto"/>
        <w:jc w:val="both"/>
        <w:rPr>
          <w:rFonts w:cs="Times New Roman"/>
          <w:szCs w:val="24"/>
        </w:rPr>
      </w:pPr>
    </w:p>
    <w:p w14:paraId="39E75A3D" w14:textId="77777777" w:rsidR="005A0E21" w:rsidRPr="00B340C5" w:rsidRDefault="005A0E21" w:rsidP="00B340C5">
      <w:pPr>
        <w:spacing w:line="240" w:lineRule="auto"/>
        <w:ind w:firstLine="708"/>
        <w:contextualSpacing/>
        <w:jc w:val="both"/>
        <w:rPr>
          <w:rFonts w:cs="Times New Roman"/>
          <w:b/>
          <w:bCs/>
          <w:szCs w:val="24"/>
        </w:rPr>
      </w:pPr>
      <w:r w:rsidRPr="00B340C5">
        <w:rPr>
          <w:rFonts w:cs="Times New Roman"/>
          <w:szCs w:val="24"/>
        </w:rPr>
        <w:t>“</w:t>
      </w:r>
      <w:r w:rsidRPr="00B340C5">
        <w:rPr>
          <w:rFonts w:cs="Times New Roman"/>
          <w:b/>
          <w:bCs/>
          <w:szCs w:val="24"/>
        </w:rPr>
        <w:t xml:space="preserve">Artículo 12. Suministro de información al supervisor </w:t>
      </w:r>
    </w:p>
    <w:p w14:paraId="7B7DABBA" w14:textId="314041CE" w:rsidR="005A0E21" w:rsidRPr="00B340C5" w:rsidRDefault="00A57A75" w:rsidP="00B340C5">
      <w:pPr>
        <w:spacing w:line="240" w:lineRule="auto"/>
        <w:ind w:left="708"/>
        <w:contextualSpacing/>
        <w:jc w:val="both"/>
        <w:rPr>
          <w:rFonts w:cs="Times New Roman"/>
          <w:szCs w:val="24"/>
        </w:rPr>
      </w:pPr>
      <w:r w:rsidRPr="00B340C5">
        <w:rPr>
          <w:rFonts w:cs="Times New Roman"/>
          <w:szCs w:val="24"/>
        </w:rPr>
        <w:t>Las entidades autorizadas deben aplicar los códigos de movimiento y cuentas identificadas en los Anexos del Manual del Régimen de Capitalización Individual para revelar el proceso de corrección de imputaciones, liberación de rezagos y la gestión de registro de erróneos. Cuando se generen procesos de corrección que apliquen a la totalidad de afiliados de un fondo de pensiones, el gestor deberá informarlo por escrito al supervisor y especificar todos los detalles para la comprensión del evento, incluida la metodología para su corrección, desde el momento mismo en que inició el proceso de corrección</w:t>
      </w:r>
      <w:r w:rsidR="005A0E21" w:rsidRPr="00B340C5">
        <w:rPr>
          <w:rFonts w:cs="Times New Roman"/>
          <w:szCs w:val="24"/>
        </w:rPr>
        <w:t>.”</w:t>
      </w:r>
    </w:p>
    <w:p w14:paraId="261151D7" w14:textId="77777777" w:rsidR="00D734D2" w:rsidRPr="00B340C5" w:rsidRDefault="00D734D2" w:rsidP="00B340C5">
      <w:pPr>
        <w:spacing w:line="240" w:lineRule="auto"/>
        <w:contextualSpacing/>
        <w:jc w:val="both"/>
        <w:rPr>
          <w:rFonts w:cs="Times New Roman"/>
          <w:b/>
          <w:bCs/>
          <w:szCs w:val="24"/>
        </w:rPr>
      </w:pPr>
    </w:p>
    <w:p w14:paraId="1F31E90C" w14:textId="144E8693" w:rsidR="005A0E21" w:rsidRPr="00B340C5" w:rsidRDefault="00C06408" w:rsidP="00B340C5">
      <w:pPr>
        <w:spacing w:line="240" w:lineRule="auto"/>
        <w:contextualSpacing/>
        <w:jc w:val="both"/>
        <w:rPr>
          <w:rFonts w:cs="Times New Roman"/>
          <w:i/>
          <w:iCs/>
          <w:szCs w:val="24"/>
        </w:rPr>
      </w:pPr>
      <w:r w:rsidRPr="00B340C5">
        <w:rPr>
          <w:rFonts w:cs="Times New Roman"/>
          <w:b/>
          <w:bCs/>
          <w:szCs w:val="24"/>
        </w:rPr>
        <w:t>TERCERO</w:t>
      </w:r>
      <w:r w:rsidR="005A0E21" w:rsidRPr="00B340C5">
        <w:rPr>
          <w:rFonts w:cs="Times New Roman"/>
          <w:b/>
          <w:bCs/>
          <w:szCs w:val="24"/>
        </w:rPr>
        <w:t>:</w:t>
      </w:r>
      <w:r w:rsidR="005A0E21" w:rsidRPr="00B340C5">
        <w:rPr>
          <w:rFonts w:cs="Times New Roman"/>
          <w:szCs w:val="24"/>
        </w:rPr>
        <w:t xml:space="preserve"> Se elimina</w:t>
      </w:r>
      <w:r w:rsidR="00D734D2" w:rsidRPr="00B340C5">
        <w:rPr>
          <w:rFonts w:cs="Times New Roman"/>
          <w:szCs w:val="24"/>
        </w:rPr>
        <w:t>,</w:t>
      </w:r>
      <w:r w:rsidR="005A0E21" w:rsidRPr="00B340C5">
        <w:rPr>
          <w:rFonts w:cs="Times New Roman"/>
          <w:szCs w:val="24"/>
        </w:rPr>
        <w:t xml:space="preserve"> del </w:t>
      </w:r>
      <w:r w:rsidR="009C6CEE" w:rsidRPr="00B340C5">
        <w:rPr>
          <w:rFonts w:cs="Times New Roman"/>
          <w:szCs w:val="24"/>
        </w:rPr>
        <w:t>a</w:t>
      </w:r>
      <w:r w:rsidR="005A0E21" w:rsidRPr="00B340C5">
        <w:rPr>
          <w:rFonts w:cs="Times New Roman"/>
          <w:szCs w:val="24"/>
        </w:rPr>
        <w:t xml:space="preserve">cuerdo </w:t>
      </w:r>
      <w:r w:rsidR="005A0E21" w:rsidRPr="00B340C5">
        <w:rPr>
          <w:rFonts w:cs="Times New Roman"/>
          <w:i/>
          <w:iCs/>
          <w:szCs w:val="24"/>
        </w:rPr>
        <w:t>SP-A-137-2010, de las quince horas del día veintidós de marzo de dos mil diez,</w:t>
      </w:r>
      <w:r w:rsidR="005A0E21" w:rsidRPr="00B340C5">
        <w:rPr>
          <w:rFonts w:cs="Times New Roman"/>
          <w:szCs w:val="24"/>
        </w:rPr>
        <w:t xml:space="preserve"> denominado </w:t>
      </w:r>
      <w:r w:rsidR="005A0E21" w:rsidRPr="00B340C5">
        <w:rPr>
          <w:rFonts w:cs="Times New Roman"/>
          <w:i/>
          <w:iCs/>
          <w:szCs w:val="24"/>
        </w:rPr>
        <w:t>Plazo y forma de los traslados de recursos de la cuenta individual de los afiliados al Régimen de Capitalización Individual</w:t>
      </w:r>
      <w:r w:rsidR="005A0E21" w:rsidRPr="00B340C5">
        <w:rPr>
          <w:rFonts w:cs="Times New Roman"/>
          <w:szCs w:val="24"/>
        </w:rPr>
        <w:t xml:space="preserve">, en la </w:t>
      </w:r>
      <w:r w:rsidR="005A0E21" w:rsidRPr="00B340C5">
        <w:rPr>
          <w:rFonts w:cs="Times New Roman"/>
          <w:i/>
          <w:iCs/>
          <w:szCs w:val="24"/>
        </w:rPr>
        <w:t>Sección II: Plazos y forma de traslado</w:t>
      </w:r>
      <w:r w:rsidR="005A0E21" w:rsidRPr="00B340C5">
        <w:rPr>
          <w:rFonts w:cs="Times New Roman"/>
          <w:szCs w:val="24"/>
        </w:rPr>
        <w:t xml:space="preserve">, el tipo de movimiento denominado </w:t>
      </w:r>
      <w:r w:rsidR="005A0E21" w:rsidRPr="00B340C5">
        <w:rPr>
          <w:rFonts w:cs="Times New Roman"/>
          <w:i/>
          <w:iCs/>
          <w:szCs w:val="24"/>
        </w:rPr>
        <w:t>“TRAS 16”,</w:t>
      </w:r>
      <w:r w:rsidR="005A0E21" w:rsidRPr="00B340C5">
        <w:rPr>
          <w:rFonts w:cs="Times New Roman"/>
          <w:szCs w:val="24"/>
        </w:rPr>
        <w:t xml:space="preserve"> cuya descripción es </w:t>
      </w:r>
      <w:r w:rsidR="005A0E21" w:rsidRPr="00B340C5">
        <w:rPr>
          <w:rFonts w:cs="Times New Roman"/>
          <w:i/>
          <w:iCs/>
          <w:szCs w:val="24"/>
        </w:rPr>
        <w:t>“El traslado de recursos producto de la licitación y adjudicación de la administración de los registros erróneos.”</w:t>
      </w:r>
    </w:p>
    <w:p w14:paraId="17C3EDE0" w14:textId="77777777" w:rsidR="009C6CEE" w:rsidRPr="00B340C5" w:rsidRDefault="009C6CEE" w:rsidP="00B340C5">
      <w:pPr>
        <w:spacing w:line="240" w:lineRule="auto"/>
        <w:contextualSpacing/>
        <w:jc w:val="both"/>
        <w:rPr>
          <w:rFonts w:cs="Times New Roman"/>
          <w:i/>
          <w:iCs/>
          <w:szCs w:val="24"/>
        </w:rPr>
      </w:pPr>
    </w:p>
    <w:p w14:paraId="58C6292E" w14:textId="036EC2D2" w:rsidR="005A0E21" w:rsidRPr="00B340C5" w:rsidRDefault="00C06408" w:rsidP="00B340C5">
      <w:pPr>
        <w:spacing w:line="240" w:lineRule="auto"/>
        <w:contextualSpacing/>
        <w:jc w:val="both"/>
        <w:rPr>
          <w:rFonts w:cs="Times New Roman"/>
          <w:szCs w:val="24"/>
        </w:rPr>
      </w:pPr>
      <w:r w:rsidRPr="00B340C5">
        <w:rPr>
          <w:rFonts w:cs="Times New Roman"/>
          <w:b/>
          <w:bCs/>
          <w:szCs w:val="24"/>
        </w:rPr>
        <w:t>CUARTO</w:t>
      </w:r>
      <w:r w:rsidR="005A0E21" w:rsidRPr="00B340C5">
        <w:rPr>
          <w:rFonts w:cs="Times New Roman"/>
          <w:b/>
          <w:bCs/>
          <w:szCs w:val="24"/>
        </w:rPr>
        <w:t>:</w:t>
      </w:r>
      <w:r w:rsidR="005A0E21" w:rsidRPr="00B340C5">
        <w:rPr>
          <w:rFonts w:cs="Times New Roman"/>
          <w:szCs w:val="24"/>
        </w:rPr>
        <w:t xml:space="preserve"> Se deroga el acuerdo </w:t>
      </w:r>
      <w:r w:rsidR="005A0E21" w:rsidRPr="00B340C5">
        <w:rPr>
          <w:rFonts w:cs="Times New Roman"/>
          <w:i/>
          <w:iCs/>
          <w:szCs w:val="24"/>
        </w:rPr>
        <w:t>SP-A-233-2020 de las dieciséis horas del día primero de diciembre de 2020</w:t>
      </w:r>
      <w:r w:rsidR="005A0E21" w:rsidRPr="00B340C5">
        <w:rPr>
          <w:rFonts w:cs="Times New Roman"/>
          <w:szCs w:val="24"/>
        </w:rPr>
        <w:t>, relativo a las disposiciones que regulan las condiciones del concurso y la administración de los recursos erróneos.</w:t>
      </w:r>
    </w:p>
    <w:p w14:paraId="1D449955" w14:textId="77777777" w:rsidR="009C6CEE" w:rsidRPr="00B340C5" w:rsidRDefault="009C6CEE" w:rsidP="00B340C5">
      <w:pPr>
        <w:spacing w:line="240" w:lineRule="auto"/>
        <w:contextualSpacing/>
        <w:jc w:val="both"/>
        <w:rPr>
          <w:rFonts w:cs="Times New Roman"/>
          <w:szCs w:val="24"/>
        </w:rPr>
      </w:pPr>
    </w:p>
    <w:p w14:paraId="4526AFEA" w14:textId="49F1DD66" w:rsidR="005A0E21" w:rsidRPr="00B340C5" w:rsidRDefault="005A0E21" w:rsidP="00B340C5">
      <w:pPr>
        <w:spacing w:line="240" w:lineRule="auto"/>
        <w:contextualSpacing/>
        <w:jc w:val="both"/>
        <w:rPr>
          <w:rFonts w:cs="Times New Roman"/>
          <w:szCs w:val="24"/>
        </w:rPr>
      </w:pPr>
      <w:r w:rsidRPr="00B340C5">
        <w:rPr>
          <w:rFonts w:cs="Times New Roman"/>
          <w:szCs w:val="24"/>
        </w:rPr>
        <w:t>Rige a partir de su comunicación.</w:t>
      </w:r>
    </w:p>
    <w:p w14:paraId="5EC7801F" w14:textId="77777777" w:rsidR="009C6CEE" w:rsidRPr="00B340C5" w:rsidRDefault="009C6CEE" w:rsidP="00B340C5">
      <w:pPr>
        <w:spacing w:line="240" w:lineRule="auto"/>
        <w:contextualSpacing/>
        <w:jc w:val="both"/>
        <w:rPr>
          <w:rFonts w:cs="Times New Roman"/>
          <w:szCs w:val="24"/>
        </w:rPr>
      </w:pPr>
    </w:p>
    <w:p w14:paraId="7837748D" w14:textId="77777777" w:rsidR="005A0E21" w:rsidRPr="00B340C5" w:rsidRDefault="005A0E21" w:rsidP="00B340C5">
      <w:pPr>
        <w:spacing w:line="240" w:lineRule="auto"/>
        <w:contextualSpacing/>
        <w:jc w:val="both"/>
        <w:rPr>
          <w:rFonts w:cs="Times New Roman"/>
          <w:szCs w:val="24"/>
        </w:rPr>
      </w:pPr>
      <w:r w:rsidRPr="00B340C5">
        <w:rPr>
          <w:rFonts w:cs="Times New Roman"/>
          <w:szCs w:val="24"/>
        </w:rPr>
        <w:t>Comuníquese.</w:t>
      </w:r>
    </w:p>
    <w:p w14:paraId="6BB6AACB" w14:textId="77777777" w:rsidR="004A3BF3" w:rsidRPr="00B340C5" w:rsidRDefault="004A3BF3" w:rsidP="00B340C5">
      <w:pPr>
        <w:spacing w:line="240" w:lineRule="auto"/>
        <w:contextualSpacing/>
        <w:jc w:val="both"/>
        <w:rPr>
          <w:rFonts w:cs="Times New Roman"/>
          <w:szCs w:val="24"/>
        </w:rPr>
      </w:pPr>
    </w:p>
    <w:p w14:paraId="691B46F5" w14:textId="41DE7353" w:rsidR="005A0E21" w:rsidRPr="00B340C5" w:rsidRDefault="005A0E21" w:rsidP="00B340C5">
      <w:pPr>
        <w:spacing w:line="240" w:lineRule="auto"/>
        <w:contextualSpacing/>
        <w:jc w:val="both"/>
        <w:rPr>
          <w:rFonts w:cs="Times New Roman"/>
          <w:szCs w:val="24"/>
        </w:rPr>
      </w:pPr>
      <w:r w:rsidRPr="00B340C5">
        <w:rPr>
          <w:rFonts w:cs="Times New Roman"/>
          <w:szCs w:val="24"/>
        </w:rPr>
        <w:t xml:space="preserve"> </w:t>
      </w:r>
      <w:r w:rsidR="009C6CEE" w:rsidRPr="00B340C5">
        <w:rPr>
          <w:rFonts w:eastAsia="Calibri" w:cs="Times New Roman"/>
          <w:noProof/>
          <w:szCs w:val="24"/>
          <w:lang w:val="es-CR" w:eastAsia="es-CR"/>
        </w:rPr>
        <w:drawing>
          <wp:inline distT="0" distB="0" distL="0" distR="0" wp14:anchorId="0DFB0C0D" wp14:editId="7309FA7A">
            <wp:extent cx="1244600" cy="482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567E1F70" w14:textId="23FE4288" w:rsidR="005A0E21" w:rsidRPr="00BB1494" w:rsidRDefault="00BB1494" w:rsidP="00B340C5">
      <w:pPr>
        <w:spacing w:line="240" w:lineRule="auto"/>
        <w:contextualSpacing/>
        <w:jc w:val="both"/>
        <w:rPr>
          <w:rFonts w:cs="Times New Roman"/>
          <w:szCs w:val="24"/>
        </w:rPr>
      </w:pPr>
      <w:r w:rsidRPr="00BB1494">
        <w:rPr>
          <w:rFonts w:cs="Times New Roman"/>
          <w:szCs w:val="24"/>
        </w:rPr>
        <w:t>Adrián Pacheco Umaña</w:t>
      </w:r>
    </w:p>
    <w:p w14:paraId="3F88F4E3" w14:textId="1C4F22EC" w:rsidR="005A0E21" w:rsidRPr="00B340C5" w:rsidRDefault="005A0E21" w:rsidP="00B340C5">
      <w:pPr>
        <w:spacing w:line="240" w:lineRule="auto"/>
        <w:contextualSpacing/>
        <w:jc w:val="both"/>
        <w:rPr>
          <w:rFonts w:cs="Times New Roman"/>
          <w:szCs w:val="24"/>
        </w:rPr>
      </w:pPr>
      <w:r w:rsidRPr="00BB1494">
        <w:rPr>
          <w:rFonts w:cs="Times New Roman"/>
          <w:szCs w:val="24"/>
        </w:rPr>
        <w:t>Superintendente de Pensiones</w:t>
      </w:r>
      <w:r w:rsidR="00BB1494" w:rsidRPr="00BB1494">
        <w:rPr>
          <w:rFonts w:cs="Times New Roman"/>
          <w:szCs w:val="24"/>
        </w:rPr>
        <w:t xml:space="preserve"> a.i.</w:t>
      </w:r>
    </w:p>
    <w:p w14:paraId="311A641A" w14:textId="77777777" w:rsidR="004A3BF3" w:rsidRPr="00B340C5" w:rsidRDefault="004A3BF3" w:rsidP="00B340C5">
      <w:pPr>
        <w:spacing w:line="240" w:lineRule="auto"/>
        <w:contextualSpacing/>
        <w:jc w:val="both"/>
        <w:rPr>
          <w:rFonts w:cs="Times New Roman"/>
          <w:szCs w:val="24"/>
        </w:rPr>
      </w:pPr>
    </w:p>
    <w:p w14:paraId="6BA3B2BB" w14:textId="5D4DF09D" w:rsidR="005A0E21" w:rsidRDefault="005A0E21" w:rsidP="00B340C5">
      <w:pPr>
        <w:spacing w:line="240" w:lineRule="auto"/>
        <w:contextualSpacing/>
        <w:jc w:val="both"/>
        <w:rPr>
          <w:rFonts w:cs="Times New Roman"/>
          <w:sz w:val="20"/>
          <w:szCs w:val="20"/>
        </w:rPr>
      </w:pPr>
      <w:r w:rsidRPr="000121AB">
        <w:rPr>
          <w:rFonts w:cs="Times New Roman"/>
          <w:sz w:val="20"/>
          <w:szCs w:val="20"/>
        </w:rPr>
        <w:t>Aprobado por YSCh</w:t>
      </w:r>
      <w:r w:rsidR="00EB0CE9" w:rsidRPr="000121AB">
        <w:rPr>
          <w:rFonts w:cs="Times New Roman"/>
          <w:sz w:val="20"/>
          <w:szCs w:val="20"/>
        </w:rPr>
        <w:t>.</w:t>
      </w:r>
    </w:p>
    <w:p w14:paraId="2DBB7074" w14:textId="77777777" w:rsidR="00A14FCC" w:rsidRPr="000121AB" w:rsidRDefault="00A14FCC" w:rsidP="00B340C5">
      <w:pPr>
        <w:spacing w:line="240" w:lineRule="auto"/>
        <w:contextualSpacing/>
        <w:jc w:val="both"/>
        <w:rPr>
          <w:rFonts w:cs="Times New Roman"/>
          <w:sz w:val="20"/>
          <w:szCs w:val="20"/>
        </w:rPr>
      </w:pPr>
    </w:p>
    <w:p w14:paraId="7C0508F6" w14:textId="77777777" w:rsidR="001F4DCC" w:rsidRPr="00A14FCC" w:rsidRDefault="004A3BF3" w:rsidP="00B340C5">
      <w:pPr>
        <w:spacing w:line="240" w:lineRule="auto"/>
        <w:contextualSpacing/>
        <w:rPr>
          <w:rFonts w:cs="Times New Roman"/>
          <w:b/>
          <w:bCs/>
          <w:sz w:val="20"/>
          <w:szCs w:val="20"/>
        </w:rPr>
      </w:pPr>
      <w:r w:rsidRPr="00A14FCC">
        <w:rPr>
          <w:rFonts w:cs="Times New Roman"/>
          <w:b/>
          <w:bCs/>
          <w:sz w:val="20"/>
          <w:szCs w:val="20"/>
        </w:rPr>
        <w:t>C</w:t>
      </w:r>
      <w:r w:rsidR="00F51494" w:rsidRPr="00A14FCC">
        <w:rPr>
          <w:rFonts w:cs="Times New Roman"/>
          <w:b/>
          <w:bCs/>
          <w:sz w:val="20"/>
          <w:szCs w:val="20"/>
        </w:rPr>
        <w:t>/</w:t>
      </w:r>
    </w:p>
    <w:p w14:paraId="77BB7278" w14:textId="77777777" w:rsidR="00A14FCC" w:rsidRDefault="00513122" w:rsidP="00B340C5">
      <w:pPr>
        <w:spacing w:line="240" w:lineRule="auto"/>
        <w:contextualSpacing/>
        <w:rPr>
          <w:rFonts w:cs="Times New Roman"/>
          <w:sz w:val="20"/>
          <w:szCs w:val="20"/>
        </w:rPr>
      </w:pPr>
      <w:r w:rsidRPr="000121AB">
        <w:rPr>
          <w:rFonts w:cs="Times New Roman"/>
          <w:sz w:val="20"/>
          <w:szCs w:val="20"/>
        </w:rPr>
        <w:t>Sr.</w:t>
      </w:r>
      <w:r w:rsidR="00A14FCC">
        <w:rPr>
          <w:rFonts w:cs="Times New Roman"/>
          <w:sz w:val="20"/>
          <w:szCs w:val="20"/>
        </w:rPr>
        <w:t xml:space="preserve"> </w:t>
      </w:r>
    </w:p>
    <w:p w14:paraId="5889D427" w14:textId="7061EC84" w:rsidR="00513122" w:rsidRPr="000121AB" w:rsidRDefault="00513122" w:rsidP="00B340C5">
      <w:pPr>
        <w:spacing w:line="240" w:lineRule="auto"/>
        <w:contextualSpacing/>
        <w:rPr>
          <w:rFonts w:cs="Times New Roman"/>
          <w:sz w:val="20"/>
          <w:szCs w:val="20"/>
        </w:rPr>
      </w:pPr>
      <w:r w:rsidRPr="000121AB">
        <w:rPr>
          <w:rFonts w:cs="Times New Roman"/>
          <w:sz w:val="20"/>
          <w:szCs w:val="20"/>
        </w:rPr>
        <w:t>Luis Rivera C.</w:t>
      </w:r>
      <w:r w:rsidR="00D33B4B" w:rsidRPr="000121AB">
        <w:rPr>
          <w:rFonts w:cs="Times New Roman"/>
          <w:sz w:val="20"/>
          <w:szCs w:val="20"/>
        </w:rPr>
        <w:t xml:space="preserve">                  </w:t>
      </w:r>
    </w:p>
    <w:p w14:paraId="457D5ACB" w14:textId="1F7D9EC6" w:rsidR="00F51494" w:rsidRPr="000121AB" w:rsidRDefault="00F51494" w:rsidP="00B340C5">
      <w:pPr>
        <w:spacing w:line="240" w:lineRule="auto"/>
        <w:contextualSpacing/>
        <w:rPr>
          <w:rFonts w:cs="Times New Roman"/>
          <w:sz w:val="20"/>
          <w:szCs w:val="20"/>
        </w:rPr>
      </w:pPr>
      <w:r w:rsidRPr="000121AB">
        <w:rPr>
          <w:rFonts w:cs="Times New Roman"/>
          <w:sz w:val="20"/>
          <w:szCs w:val="20"/>
        </w:rPr>
        <w:t>SICERE</w:t>
      </w:r>
    </w:p>
    <w:p w14:paraId="3CA763A8" w14:textId="7A0B1F65" w:rsidR="00D33B4B" w:rsidRPr="00B340C5" w:rsidRDefault="00D33B4B" w:rsidP="00B340C5">
      <w:pPr>
        <w:spacing w:line="240" w:lineRule="auto"/>
        <w:contextualSpacing/>
        <w:jc w:val="right"/>
        <w:rPr>
          <w:rFonts w:cs="Times New Roman"/>
          <w:szCs w:val="24"/>
        </w:rPr>
      </w:pPr>
    </w:p>
    <w:sectPr w:rsidR="00D33B4B" w:rsidRPr="00B340C5" w:rsidSect="004A3BF3">
      <w:headerReference w:type="even" r:id="rId12"/>
      <w:headerReference w:type="default" r:id="rId13"/>
      <w:footerReference w:type="even" r:id="rId14"/>
      <w:footerReference w:type="default" r:id="rId15"/>
      <w:headerReference w:type="first" r:id="rId16"/>
      <w:footerReference w:type="first" r:id="rId17"/>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8D8E" w14:textId="77777777" w:rsidR="00A76480" w:rsidRDefault="00A76480" w:rsidP="00011FAB">
      <w:pPr>
        <w:spacing w:line="240" w:lineRule="auto"/>
      </w:pPr>
      <w:r>
        <w:separator/>
      </w:r>
    </w:p>
  </w:endnote>
  <w:endnote w:type="continuationSeparator" w:id="0">
    <w:p w14:paraId="55F4D505" w14:textId="77777777" w:rsidR="00A76480" w:rsidRDefault="00A76480"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F91C" w14:textId="77777777" w:rsidR="00BB06F2" w:rsidRDefault="00BB06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62F3" w14:textId="77777777" w:rsidR="003621B6" w:rsidRDefault="003621B6" w:rsidP="003621B6">
    <w:pPr>
      <w:pStyle w:val="Piedepgina"/>
      <w:pBdr>
        <w:top w:val="single" w:sz="4" w:space="1" w:color="auto"/>
      </w:pBdr>
      <w:rPr>
        <w:i/>
        <w:szCs w:val="24"/>
      </w:rPr>
    </w:pP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E9B4" w14:textId="77777777" w:rsidR="003621B6" w:rsidRDefault="003621B6" w:rsidP="003621B6">
    <w:pPr>
      <w:pStyle w:val="Piedepgina"/>
      <w:pBdr>
        <w:top w:val="single" w:sz="4" w:space="1" w:color="auto"/>
      </w:pBdr>
      <w:rPr>
        <w:i/>
        <w:szCs w:val="24"/>
      </w:rPr>
    </w:pP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EC91" w14:textId="77777777" w:rsidR="00A76480" w:rsidRDefault="00A76480" w:rsidP="00011FAB">
      <w:pPr>
        <w:spacing w:line="240" w:lineRule="auto"/>
      </w:pPr>
      <w:r>
        <w:separator/>
      </w:r>
    </w:p>
  </w:footnote>
  <w:footnote w:type="continuationSeparator" w:id="0">
    <w:p w14:paraId="49AA1573" w14:textId="77777777" w:rsidR="00A76480" w:rsidRDefault="00A76480"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2B2F" w14:textId="77777777" w:rsidR="00BB06F2" w:rsidRDefault="00BB06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6A1C" w14:textId="643B3DA3" w:rsidR="006B6689" w:rsidRPr="00092B79" w:rsidRDefault="0067350A" w:rsidP="006B6689">
    <w:pPr>
      <w:pStyle w:val="Encabezado"/>
      <w:rPr>
        <w:b/>
        <w:i/>
        <w:noProof/>
        <w:szCs w:val="24"/>
      </w:rPr>
    </w:pPr>
    <w:r>
      <w:rPr>
        <w:noProof/>
      </w:rPr>
      <w:drawing>
        <wp:anchor distT="0" distB="0" distL="114300" distR="114300" simplePos="0" relativeHeight="251658240" behindDoc="1" locked="0" layoutInCell="1" allowOverlap="1" wp14:anchorId="171EB96E" wp14:editId="43F33ADB">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D766AB">
      <w:rPr>
        <w:noProof/>
        <w:lang w:val="es-CR" w:eastAsia="es-CR"/>
      </w:rPr>
      <w:drawing>
        <wp:anchor distT="0" distB="0" distL="114300" distR="114300" simplePos="0" relativeHeight="251656192" behindDoc="1" locked="0" layoutInCell="1" allowOverlap="1" wp14:anchorId="404A0360" wp14:editId="6525CC02">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sidR="00621251" w:rsidRPr="00092B79">
      <w:rPr>
        <w:b/>
        <w:i/>
        <w:szCs w:val="24"/>
      </w:rPr>
      <w:fldChar w:fldCharType="begin"/>
    </w:r>
    <w:r w:rsidR="00621251" w:rsidRPr="00092B79">
      <w:rPr>
        <w:b/>
        <w:i/>
        <w:szCs w:val="24"/>
      </w:rPr>
      <w:instrText xml:space="preserve"> STYLEREF  Supen_Encabezado  \* MERGEFORMAT </w:instrText>
    </w:r>
    <w:r w:rsidR="00621251" w:rsidRPr="00092B79">
      <w:rPr>
        <w:b/>
        <w:i/>
        <w:szCs w:val="24"/>
      </w:rPr>
      <w:fldChar w:fldCharType="separate"/>
    </w:r>
    <w:r w:rsidR="003762C0">
      <w:rPr>
        <w:b/>
        <w:i/>
        <w:noProof/>
        <w:szCs w:val="24"/>
      </w:rPr>
      <w:t>SP-A-256-2022</w:t>
    </w:r>
    <w:r w:rsidR="00621251"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A9B7" w14:textId="45BFE4D9" w:rsidR="00F44087" w:rsidRPr="00310D45" w:rsidRDefault="0031679D" w:rsidP="00310D45">
    <w:pPr>
      <w:pStyle w:val="Encabezado"/>
    </w:pPr>
    <w:r>
      <w:rPr>
        <w:noProof/>
      </w:rPr>
      <mc:AlternateContent>
        <mc:Choice Requires="wps">
          <w:drawing>
            <wp:anchor distT="45720" distB="45720" distL="114300" distR="114300" simplePos="0" relativeHeight="251659264" behindDoc="0" locked="0" layoutInCell="1" allowOverlap="1" wp14:anchorId="2143C4F9" wp14:editId="76104A81">
              <wp:simplePos x="0" y="0"/>
              <wp:positionH relativeFrom="column">
                <wp:posOffset>4107082</wp:posOffset>
              </wp:positionH>
              <wp:positionV relativeFrom="paragraph">
                <wp:posOffset>-168421</wp:posOffset>
              </wp:positionV>
              <wp:extent cx="2360930" cy="668020"/>
              <wp:effectExtent l="0" t="0" r="2222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8020"/>
                      </a:xfrm>
                      <a:prstGeom prst="rect">
                        <a:avLst/>
                      </a:prstGeom>
                      <a:solidFill>
                        <a:srgbClr val="FFFFFF"/>
                      </a:solidFill>
                      <a:ln w="9525">
                        <a:solidFill>
                          <a:schemeClr val="bg1"/>
                        </a:solidFill>
                        <a:miter lim="800000"/>
                        <a:headEnd/>
                        <a:tailEnd/>
                      </a:ln>
                    </wps:spPr>
                    <wps:txbx>
                      <w:txbxContent>
                        <w:p w14:paraId="2ECD229E" w14:textId="7DE97FDD" w:rsidR="0031679D" w:rsidRDefault="0031679D" w:rsidP="0031679D">
                          <w:pPr>
                            <w:ind w:left="907"/>
                          </w:pPr>
                          <w:r>
                            <w:rPr>
                              <w:noProof/>
                            </w:rPr>
                            <w:drawing>
                              <wp:inline distT="0" distB="0" distL="0" distR="0" wp14:anchorId="01DB4B02" wp14:editId="157FD7F3">
                                <wp:extent cx="866140" cy="567690"/>
                                <wp:effectExtent l="0" t="0" r="0" b="3810"/>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43C4F9" id="_x0000_t202" coordsize="21600,21600" o:spt="202" path="m,l,21600r21600,l21600,xe">
              <v:stroke joinstyle="miter"/>
              <v:path gradientshapeok="t" o:connecttype="rect"/>
            </v:shapetype>
            <v:shape id="Cuadro de texto 2" o:spid="_x0000_s1026" type="#_x0000_t202" style="position:absolute;margin-left:323.4pt;margin-top:-13.25pt;width:185.9pt;height:5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" strokecolor="white [3212]">
              <v:textbox>
                <w:txbxContent>
                  <w:p w14:paraId="2ECD229E" w14:textId="7DE97FDD" w:rsidR="0031679D" w:rsidRDefault="0031679D" w:rsidP="0031679D">
                    <w:pPr>
                      <w:ind w:left="907"/>
                    </w:pPr>
                    <w:r>
                      <w:rPr>
                        <w:noProof/>
                      </w:rPr>
                      <w:drawing>
                        <wp:inline distT="0" distB="0" distL="0" distR="0" wp14:anchorId="01DB4B02" wp14:editId="157FD7F3">
                          <wp:extent cx="866140" cy="567690"/>
                          <wp:effectExtent l="0" t="0" r="0" b="3810"/>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inline>
                      </w:drawing>
                    </w:r>
                  </w:p>
                </w:txbxContent>
              </v:textbox>
              <w10:wrap type="square"/>
            </v:shape>
          </w:pict>
        </mc:Fallback>
      </mc:AlternateContent>
    </w:r>
    <w:r w:rsidR="00310D45">
      <w:rPr>
        <w:noProof/>
        <w:lang w:val="es-CR" w:eastAsia="es-CR"/>
      </w:rPr>
      <w:drawing>
        <wp:anchor distT="0" distB="0" distL="114300" distR="114300" simplePos="0" relativeHeight="251657216" behindDoc="1" locked="0" layoutInCell="1" allowOverlap="1" wp14:anchorId="549F4566" wp14:editId="6A0738A3">
          <wp:simplePos x="0" y="0"/>
          <wp:positionH relativeFrom="page">
            <wp:posOffset>812165</wp:posOffset>
          </wp:positionH>
          <wp:positionV relativeFrom="page">
            <wp:posOffset>184150</wp:posOffset>
          </wp:positionV>
          <wp:extent cx="1945005" cy="89979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40"/>
    <w:multiLevelType w:val="hybridMultilevel"/>
    <w:tmpl w:val="41BA01A8"/>
    <w:lvl w:ilvl="0" w:tplc="FD0C6336">
      <w:start w:val="1"/>
      <w:numFmt w:val="lowerLetter"/>
      <w:lvlText w:val="%1)"/>
      <w:lvlJc w:val="left"/>
      <w:pPr>
        <w:ind w:left="720" w:hanging="360"/>
      </w:pPr>
      <w:rPr>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0153166"/>
    <w:multiLevelType w:val="hybridMultilevel"/>
    <w:tmpl w:val="290650A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578013E"/>
    <w:multiLevelType w:val="hybridMultilevel"/>
    <w:tmpl w:val="502899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53587B"/>
    <w:multiLevelType w:val="hybridMultilevel"/>
    <w:tmpl w:val="6E1A5628"/>
    <w:lvl w:ilvl="0" w:tplc="1AC44AA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EC837FE"/>
    <w:multiLevelType w:val="hybridMultilevel"/>
    <w:tmpl w:val="A684A81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1481D82"/>
    <w:multiLevelType w:val="hybridMultilevel"/>
    <w:tmpl w:val="E5266558"/>
    <w:lvl w:ilvl="0" w:tplc="140A0019">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53C1E9E"/>
    <w:multiLevelType w:val="hybridMultilevel"/>
    <w:tmpl w:val="D6307CB0"/>
    <w:lvl w:ilvl="0" w:tplc="945ADA2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8810FAD"/>
    <w:multiLevelType w:val="hybridMultilevel"/>
    <w:tmpl w:val="307C925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190128B"/>
    <w:multiLevelType w:val="hybridMultilevel"/>
    <w:tmpl w:val="7956652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78B07A0"/>
    <w:multiLevelType w:val="hybridMultilevel"/>
    <w:tmpl w:val="B8B0C5B0"/>
    <w:lvl w:ilvl="0" w:tplc="73529C74">
      <w:start w:val="1"/>
      <w:numFmt w:val="decimal"/>
      <w:lvlText w:val="%1."/>
      <w:lvlJc w:val="left"/>
      <w:pPr>
        <w:ind w:left="720" w:hanging="360"/>
      </w:pPr>
      <w:rPr>
        <w:rFonts w:ascii="Times New Roman" w:eastAsia="Calibri" w:hAnsi="Times New Roman" w:cs="Times New Roman"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CB463BB"/>
    <w:multiLevelType w:val="hybridMultilevel"/>
    <w:tmpl w:val="CA42F2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2"/>
  </w:num>
  <w:num w:numId="5">
    <w:abstractNumId w:val="1"/>
  </w:num>
  <w:num w:numId="6">
    <w:abstractNumId w:val="10"/>
  </w:num>
  <w:num w:numId="7">
    <w:abstractNumId w:val="7"/>
  </w:num>
  <w:num w:numId="8">
    <w:abstractNumId w:val="6"/>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121AB"/>
    <w:rsid w:val="000174AB"/>
    <w:rsid w:val="00021ADD"/>
    <w:rsid w:val="0002397B"/>
    <w:rsid w:val="00034A9A"/>
    <w:rsid w:val="00041392"/>
    <w:rsid w:val="000421CB"/>
    <w:rsid w:val="00054C68"/>
    <w:rsid w:val="0006450F"/>
    <w:rsid w:val="0006650E"/>
    <w:rsid w:val="000743D5"/>
    <w:rsid w:val="0007682D"/>
    <w:rsid w:val="00092B79"/>
    <w:rsid w:val="00095A2B"/>
    <w:rsid w:val="0009605D"/>
    <w:rsid w:val="000A078F"/>
    <w:rsid w:val="000A6A9F"/>
    <w:rsid w:val="000B4785"/>
    <w:rsid w:val="000D5848"/>
    <w:rsid w:val="000F20BC"/>
    <w:rsid w:val="000F4944"/>
    <w:rsid w:val="00107ED5"/>
    <w:rsid w:val="00112A23"/>
    <w:rsid w:val="001572C1"/>
    <w:rsid w:val="00165C0D"/>
    <w:rsid w:val="0017632B"/>
    <w:rsid w:val="00183511"/>
    <w:rsid w:val="001A1222"/>
    <w:rsid w:val="001B67E6"/>
    <w:rsid w:val="001C4FB4"/>
    <w:rsid w:val="001D18BF"/>
    <w:rsid w:val="001D3394"/>
    <w:rsid w:val="001D3CA8"/>
    <w:rsid w:val="001D3FBD"/>
    <w:rsid w:val="001E5E01"/>
    <w:rsid w:val="001F4DCC"/>
    <w:rsid w:val="001F7E30"/>
    <w:rsid w:val="00203DE7"/>
    <w:rsid w:val="00204052"/>
    <w:rsid w:val="002073B7"/>
    <w:rsid w:val="002104E8"/>
    <w:rsid w:val="00220DF4"/>
    <w:rsid w:val="002257D1"/>
    <w:rsid w:val="00226B8E"/>
    <w:rsid w:val="00250B46"/>
    <w:rsid w:val="00261C1A"/>
    <w:rsid w:val="00261F6E"/>
    <w:rsid w:val="002623B1"/>
    <w:rsid w:val="00262F5C"/>
    <w:rsid w:val="0026796D"/>
    <w:rsid w:val="00277C51"/>
    <w:rsid w:val="00291B81"/>
    <w:rsid w:val="0029228A"/>
    <w:rsid w:val="00295482"/>
    <w:rsid w:val="002A56DD"/>
    <w:rsid w:val="002C3FC4"/>
    <w:rsid w:val="002C4C8C"/>
    <w:rsid w:val="002C5658"/>
    <w:rsid w:val="002F0201"/>
    <w:rsid w:val="002F0CD8"/>
    <w:rsid w:val="002F2BA9"/>
    <w:rsid w:val="003017CC"/>
    <w:rsid w:val="00303B4A"/>
    <w:rsid w:val="00305EDC"/>
    <w:rsid w:val="00310D45"/>
    <w:rsid w:val="0031178F"/>
    <w:rsid w:val="003155C5"/>
    <w:rsid w:val="0031679D"/>
    <w:rsid w:val="003262D5"/>
    <w:rsid w:val="00334A38"/>
    <w:rsid w:val="003401A9"/>
    <w:rsid w:val="00347408"/>
    <w:rsid w:val="00347829"/>
    <w:rsid w:val="0035179E"/>
    <w:rsid w:val="0035586B"/>
    <w:rsid w:val="00361F1F"/>
    <w:rsid w:val="003621B6"/>
    <w:rsid w:val="003762C0"/>
    <w:rsid w:val="00377CEE"/>
    <w:rsid w:val="0038621B"/>
    <w:rsid w:val="00387CD6"/>
    <w:rsid w:val="003A06F4"/>
    <w:rsid w:val="003B667F"/>
    <w:rsid w:val="003D35CA"/>
    <w:rsid w:val="004136B9"/>
    <w:rsid w:val="00413B95"/>
    <w:rsid w:val="00417074"/>
    <w:rsid w:val="0042406F"/>
    <w:rsid w:val="0042790D"/>
    <w:rsid w:val="00427BFB"/>
    <w:rsid w:val="00432490"/>
    <w:rsid w:val="0045287A"/>
    <w:rsid w:val="004565B1"/>
    <w:rsid w:val="004633F5"/>
    <w:rsid w:val="00464393"/>
    <w:rsid w:val="00477218"/>
    <w:rsid w:val="00484927"/>
    <w:rsid w:val="00486EFF"/>
    <w:rsid w:val="00491D4E"/>
    <w:rsid w:val="00496936"/>
    <w:rsid w:val="004A2C15"/>
    <w:rsid w:val="004A3BF3"/>
    <w:rsid w:val="004B3D1D"/>
    <w:rsid w:val="004B5FF9"/>
    <w:rsid w:val="004C4D71"/>
    <w:rsid w:val="004E399E"/>
    <w:rsid w:val="004E7240"/>
    <w:rsid w:val="004F21B2"/>
    <w:rsid w:val="0050511E"/>
    <w:rsid w:val="00505AC3"/>
    <w:rsid w:val="00507921"/>
    <w:rsid w:val="00510B84"/>
    <w:rsid w:val="00513122"/>
    <w:rsid w:val="005429B7"/>
    <w:rsid w:val="00561617"/>
    <w:rsid w:val="00577AA3"/>
    <w:rsid w:val="0058753F"/>
    <w:rsid w:val="0059081B"/>
    <w:rsid w:val="00594A6E"/>
    <w:rsid w:val="005A0E21"/>
    <w:rsid w:val="005A55A4"/>
    <w:rsid w:val="005A7617"/>
    <w:rsid w:val="005C18F6"/>
    <w:rsid w:val="005C7853"/>
    <w:rsid w:val="005D0E59"/>
    <w:rsid w:val="005E0174"/>
    <w:rsid w:val="005E4A8B"/>
    <w:rsid w:val="006159D2"/>
    <w:rsid w:val="00621251"/>
    <w:rsid w:val="006262AA"/>
    <w:rsid w:val="00630614"/>
    <w:rsid w:val="0065487F"/>
    <w:rsid w:val="0067350A"/>
    <w:rsid w:val="00673B30"/>
    <w:rsid w:val="00676D4E"/>
    <w:rsid w:val="006803D3"/>
    <w:rsid w:val="0069087E"/>
    <w:rsid w:val="006B27C7"/>
    <w:rsid w:val="006B2F72"/>
    <w:rsid w:val="006B6689"/>
    <w:rsid w:val="006B6D26"/>
    <w:rsid w:val="006C5791"/>
    <w:rsid w:val="006C5F23"/>
    <w:rsid w:val="006D0ACC"/>
    <w:rsid w:val="006D5B49"/>
    <w:rsid w:val="006E6D19"/>
    <w:rsid w:val="006F2B45"/>
    <w:rsid w:val="006F5308"/>
    <w:rsid w:val="006F5480"/>
    <w:rsid w:val="006F787D"/>
    <w:rsid w:val="00706E93"/>
    <w:rsid w:val="00722522"/>
    <w:rsid w:val="00732D8B"/>
    <w:rsid w:val="0073319A"/>
    <w:rsid w:val="00763296"/>
    <w:rsid w:val="0076656D"/>
    <w:rsid w:val="00767205"/>
    <w:rsid w:val="00767DF5"/>
    <w:rsid w:val="00794226"/>
    <w:rsid w:val="0079478E"/>
    <w:rsid w:val="007A31ED"/>
    <w:rsid w:val="007B253B"/>
    <w:rsid w:val="007B56DE"/>
    <w:rsid w:val="007B64CC"/>
    <w:rsid w:val="007D711F"/>
    <w:rsid w:val="007E7168"/>
    <w:rsid w:val="007F7219"/>
    <w:rsid w:val="00802F04"/>
    <w:rsid w:val="008051AB"/>
    <w:rsid w:val="00826EC1"/>
    <w:rsid w:val="008308B4"/>
    <w:rsid w:val="00832382"/>
    <w:rsid w:val="00840674"/>
    <w:rsid w:val="00841C4B"/>
    <w:rsid w:val="00841E75"/>
    <w:rsid w:val="00851CCD"/>
    <w:rsid w:val="0088605A"/>
    <w:rsid w:val="00890129"/>
    <w:rsid w:val="00896C15"/>
    <w:rsid w:val="008A098B"/>
    <w:rsid w:val="008B79E4"/>
    <w:rsid w:val="008C1C9B"/>
    <w:rsid w:val="008E0755"/>
    <w:rsid w:val="008E076A"/>
    <w:rsid w:val="008E1A88"/>
    <w:rsid w:val="008E7D4F"/>
    <w:rsid w:val="008F093D"/>
    <w:rsid w:val="008F7F49"/>
    <w:rsid w:val="00931AB4"/>
    <w:rsid w:val="009332DB"/>
    <w:rsid w:val="00952852"/>
    <w:rsid w:val="009536A5"/>
    <w:rsid w:val="00963FF7"/>
    <w:rsid w:val="00966381"/>
    <w:rsid w:val="00966979"/>
    <w:rsid w:val="00967B19"/>
    <w:rsid w:val="009708C0"/>
    <w:rsid w:val="00970CAA"/>
    <w:rsid w:val="00980E25"/>
    <w:rsid w:val="00986C0C"/>
    <w:rsid w:val="009903C3"/>
    <w:rsid w:val="00991045"/>
    <w:rsid w:val="009913CA"/>
    <w:rsid w:val="00994D97"/>
    <w:rsid w:val="009A73EA"/>
    <w:rsid w:val="009B3671"/>
    <w:rsid w:val="009B475A"/>
    <w:rsid w:val="009B6F52"/>
    <w:rsid w:val="009C6CEE"/>
    <w:rsid w:val="009E6DB2"/>
    <w:rsid w:val="009E778E"/>
    <w:rsid w:val="009F300D"/>
    <w:rsid w:val="009F5B29"/>
    <w:rsid w:val="009F5D8A"/>
    <w:rsid w:val="009F7B41"/>
    <w:rsid w:val="009F7C79"/>
    <w:rsid w:val="00A009B3"/>
    <w:rsid w:val="00A01437"/>
    <w:rsid w:val="00A0168D"/>
    <w:rsid w:val="00A1061A"/>
    <w:rsid w:val="00A10773"/>
    <w:rsid w:val="00A137D9"/>
    <w:rsid w:val="00A14FCC"/>
    <w:rsid w:val="00A241E6"/>
    <w:rsid w:val="00A2631C"/>
    <w:rsid w:val="00A41A92"/>
    <w:rsid w:val="00A47569"/>
    <w:rsid w:val="00A4778B"/>
    <w:rsid w:val="00A57A75"/>
    <w:rsid w:val="00A60740"/>
    <w:rsid w:val="00A60911"/>
    <w:rsid w:val="00A62B58"/>
    <w:rsid w:val="00A65E7E"/>
    <w:rsid w:val="00A66B58"/>
    <w:rsid w:val="00A750E9"/>
    <w:rsid w:val="00A76480"/>
    <w:rsid w:val="00A903EE"/>
    <w:rsid w:val="00A909F3"/>
    <w:rsid w:val="00AA34C4"/>
    <w:rsid w:val="00AB116C"/>
    <w:rsid w:val="00AC0A26"/>
    <w:rsid w:val="00AD10D3"/>
    <w:rsid w:val="00AE527B"/>
    <w:rsid w:val="00AF3B9B"/>
    <w:rsid w:val="00AF7580"/>
    <w:rsid w:val="00B00005"/>
    <w:rsid w:val="00B0640E"/>
    <w:rsid w:val="00B20060"/>
    <w:rsid w:val="00B22487"/>
    <w:rsid w:val="00B2636B"/>
    <w:rsid w:val="00B340C5"/>
    <w:rsid w:val="00B51FF6"/>
    <w:rsid w:val="00B5656D"/>
    <w:rsid w:val="00B65E0E"/>
    <w:rsid w:val="00B73BF2"/>
    <w:rsid w:val="00B849CB"/>
    <w:rsid w:val="00B9056F"/>
    <w:rsid w:val="00BB06F2"/>
    <w:rsid w:val="00BB1494"/>
    <w:rsid w:val="00BD369E"/>
    <w:rsid w:val="00BD5F5A"/>
    <w:rsid w:val="00BE078A"/>
    <w:rsid w:val="00BF3A3A"/>
    <w:rsid w:val="00C015B1"/>
    <w:rsid w:val="00C05E99"/>
    <w:rsid w:val="00C06408"/>
    <w:rsid w:val="00C43E0D"/>
    <w:rsid w:val="00C564F4"/>
    <w:rsid w:val="00C56A73"/>
    <w:rsid w:val="00C57E62"/>
    <w:rsid w:val="00C62829"/>
    <w:rsid w:val="00C72AC5"/>
    <w:rsid w:val="00C8337A"/>
    <w:rsid w:val="00C87559"/>
    <w:rsid w:val="00C90A71"/>
    <w:rsid w:val="00C94885"/>
    <w:rsid w:val="00CA16C2"/>
    <w:rsid w:val="00CB17BB"/>
    <w:rsid w:val="00CB3329"/>
    <w:rsid w:val="00CC0335"/>
    <w:rsid w:val="00CC24BF"/>
    <w:rsid w:val="00CC4436"/>
    <w:rsid w:val="00CC6744"/>
    <w:rsid w:val="00CD5928"/>
    <w:rsid w:val="00CD62E3"/>
    <w:rsid w:val="00CE1D3B"/>
    <w:rsid w:val="00CE20F2"/>
    <w:rsid w:val="00CE65AF"/>
    <w:rsid w:val="00CF51F2"/>
    <w:rsid w:val="00CF6078"/>
    <w:rsid w:val="00D029E6"/>
    <w:rsid w:val="00D0661A"/>
    <w:rsid w:val="00D33B4B"/>
    <w:rsid w:val="00D350B3"/>
    <w:rsid w:val="00D440C1"/>
    <w:rsid w:val="00D61945"/>
    <w:rsid w:val="00D734D2"/>
    <w:rsid w:val="00D766AB"/>
    <w:rsid w:val="00D80206"/>
    <w:rsid w:val="00D824AC"/>
    <w:rsid w:val="00D86CC1"/>
    <w:rsid w:val="00D92866"/>
    <w:rsid w:val="00DA5F5C"/>
    <w:rsid w:val="00DC38D9"/>
    <w:rsid w:val="00DC4AB8"/>
    <w:rsid w:val="00DC523D"/>
    <w:rsid w:val="00DD729A"/>
    <w:rsid w:val="00DE18BD"/>
    <w:rsid w:val="00DE7A4D"/>
    <w:rsid w:val="00E01986"/>
    <w:rsid w:val="00E04115"/>
    <w:rsid w:val="00E0738C"/>
    <w:rsid w:val="00E1796D"/>
    <w:rsid w:val="00E26420"/>
    <w:rsid w:val="00E334CA"/>
    <w:rsid w:val="00E4156F"/>
    <w:rsid w:val="00E42EFF"/>
    <w:rsid w:val="00E666CE"/>
    <w:rsid w:val="00E66CE0"/>
    <w:rsid w:val="00E95D96"/>
    <w:rsid w:val="00EA0753"/>
    <w:rsid w:val="00EA1A49"/>
    <w:rsid w:val="00EA4F13"/>
    <w:rsid w:val="00EB0CE9"/>
    <w:rsid w:val="00EC1B04"/>
    <w:rsid w:val="00EC65EB"/>
    <w:rsid w:val="00ED56C0"/>
    <w:rsid w:val="00EE58B8"/>
    <w:rsid w:val="00EF04B3"/>
    <w:rsid w:val="00EF5360"/>
    <w:rsid w:val="00F14936"/>
    <w:rsid w:val="00F15003"/>
    <w:rsid w:val="00F34FFD"/>
    <w:rsid w:val="00F432E8"/>
    <w:rsid w:val="00F44087"/>
    <w:rsid w:val="00F45755"/>
    <w:rsid w:val="00F50472"/>
    <w:rsid w:val="00F51494"/>
    <w:rsid w:val="00F51952"/>
    <w:rsid w:val="00F560CF"/>
    <w:rsid w:val="00F57041"/>
    <w:rsid w:val="00F65385"/>
    <w:rsid w:val="00F66992"/>
    <w:rsid w:val="00F67EC5"/>
    <w:rsid w:val="00F73DF9"/>
    <w:rsid w:val="00F761AE"/>
    <w:rsid w:val="00F7760F"/>
    <w:rsid w:val="00F80FC5"/>
    <w:rsid w:val="00FB274E"/>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9536A5"/>
    <w:pPr>
      <w:spacing w:after="0" w:line="360" w:lineRule="auto"/>
      <w:jc w:val="center"/>
    </w:pPr>
    <w:rPr>
      <w:rFonts w:ascii="Times New Roman" w:hAnsi="Times New Roman"/>
      <w:sz w:val="24"/>
    </w:rPr>
  </w:style>
  <w:style w:type="character" w:customStyle="1" w:styleId="SupenEncabezadoCar">
    <w:name w:val="Supen_Encabezado Car"/>
    <w:basedOn w:val="Fuentedeprrafopredeter"/>
    <w:link w:val="SupenEncabezado"/>
    <w:rsid w:val="009536A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0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F09B8"/>
    <w:rsid w:val="00CC07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7" ma:contentTypeDescription="Crear nuevo documento." ma:contentTypeScope="" ma:versionID="18b833d4a4568477dbe65e6381625d28">
  <xsd:schema xmlns:xsd="http://www.w3.org/2001/XMLSchema" xmlns:xs="http://www.w3.org/2001/XMLSchema" xmlns:p="http://schemas.microsoft.com/office/2006/metadata/properties" xmlns:ns2="6c2d2cf2-004b-47d1-b91d-f9a62dc21bae" targetNamespace="http://schemas.microsoft.com/office/2006/metadata/properties" ma:root="true" ma:fieldsID="fc25ecc9a4813553ccaeeae26d5c5c19"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https://si.supen.fi.cr/Tramites/Tram_Detalle_Evento.aspx?evento=2022065470&amp;op=3</Url>
      <Description>2022065470</Description>
    </Evento>
  </documentManagement>
</p:properties>
</file>

<file path=customXml/itemProps1.xml><?xml version="1.0" encoding="utf-8"?>
<ds:datastoreItem xmlns:ds="http://schemas.openxmlformats.org/officeDocument/2006/customXml" ds:itemID="{B97AF295-C579-4105-9EBF-736D0A1E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1DCE4-7CF6-4959-8E97-F0A648B31CD9}">
  <ds:schemaRefs>
    <ds:schemaRef ds:uri="http://schemas.microsoft.com/sharepoint/v3/contenttype/forms"/>
  </ds:schemaRefs>
</ds:datastoreItem>
</file>

<file path=customXml/itemProps3.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4.xml><?xml version="1.0" encoding="utf-8"?>
<ds:datastoreItem xmlns:ds="http://schemas.openxmlformats.org/officeDocument/2006/customXml" ds:itemID="{34D451BD-6067-48EB-80C7-A07A167F2540}">
  <ds:schemaRefs>
    <ds:schemaRef ds:uri="http://schemas.microsoft.com/office/infopath/2007/PartnerControls"/>
    <ds:schemaRef ds:uri="http://schemas.microsoft.com/office/2006/documentManagement/types"/>
    <ds:schemaRef ds:uri="6c2d2cf2-004b-47d1-b91d-f9a62dc21bae"/>
    <ds:schemaRef ds:uri="http://purl.org/dc/term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2</TotalTime>
  <Pages>7</Pages>
  <Words>2413</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2022SPA256.docx</dc:title>
  <dc:subject/>
  <dc:creator>ROJAS VALVERDE DIEGO ANTONIO</dc:creator>
  <cp:keywords/>
  <dc:description/>
  <cp:lastModifiedBy>RODRIGUEZ BOVIERI GIANFRANCO</cp:lastModifiedBy>
  <cp:revision>2</cp:revision>
  <cp:lastPrinted>2016-11-07T18:19:00Z</cp:lastPrinted>
  <dcterms:created xsi:type="dcterms:W3CDTF">2022-11-23T14:24:00Z</dcterms:created>
  <dcterms:modified xsi:type="dcterms:W3CDTF">2022-11-23T14:24:00Z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ies>
</file>